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3DA6" w:rsidRDefault="006A45D9">
      <w:pPr>
        <w:pStyle w:val="Style4"/>
        <w:spacing w:line="240" w:lineRule="auto"/>
        <w:ind w:left="5529"/>
        <w:rPr>
          <w:rStyle w:val="FontStyle51"/>
          <w:b w:val="0"/>
          <w:sz w:val="24"/>
          <w:szCs w:val="24"/>
        </w:rPr>
      </w:pPr>
      <w:bookmarkStart w:id="0" w:name="_GoBack"/>
      <w:bookmarkEnd w:id="0"/>
      <w:r>
        <w:rPr>
          <w:rStyle w:val="FontStyle51"/>
          <w:b w:val="0"/>
          <w:sz w:val="24"/>
          <w:szCs w:val="24"/>
        </w:rPr>
        <w:t>УТВЕРЖДЕНО</w:t>
      </w:r>
    </w:p>
    <w:p w:rsidR="00583DA6" w:rsidRDefault="006A45D9">
      <w:pPr>
        <w:pStyle w:val="Style4"/>
        <w:spacing w:line="240" w:lineRule="auto"/>
        <w:ind w:left="5529"/>
        <w:rPr>
          <w:rStyle w:val="FontStyle51"/>
          <w:b w:val="0"/>
          <w:sz w:val="24"/>
          <w:szCs w:val="24"/>
        </w:rPr>
      </w:pPr>
      <w:r>
        <w:rPr>
          <w:rStyle w:val="FontStyle51"/>
          <w:b w:val="0"/>
          <w:sz w:val="24"/>
          <w:szCs w:val="24"/>
        </w:rPr>
        <w:t>Правительством Камчатского края</w:t>
      </w:r>
    </w:p>
    <w:p w:rsidR="00583DA6" w:rsidRDefault="006A45D9">
      <w:pPr>
        <w:pStyle w:val="Style4"/>
        <w:spacing w:line="240" w:lineRule="auto"/>
        <w:ind w:left="5529"/>
        <w:rPr>
          <w:rStyle w:val="FontStyle51"/>
          <w:b w:val="0"/>
          <w:sz w:val="24"/>
          <w:szCs w:val="24"/>
        </w:rPr>
      </w:pPr>
      <w:r>
        <w:rPr>
          <w:rStyle w:val="FontStyle51"/>
          <w:b w:val="0"/>
          <w:sz w:val="24"/>
          <w:szCs w:val="24"/>
        </w:rPr>
        <w:t>(_______________________________)</w:t>
      </w:r>
    </w:p>
    <w:p w:rsidR="00583DA6" w:rsidRDefault="00583DA6">
      <w:pPr>
        <w:pStyle w:val="Style4"/>
        <w:spacing w:line="240" w:lineRule="auto"/>
        <w:rPr>
          <w:rStyle w:val="FontStyle51"/>
          <w:b w:val="0"/>
          <w:sz w:val="26"/>
          <w:szCs w:val="26"/>
        </w:rPr>
      </w:pPr>
    </w:p>
    <w:p w:rsidR="00583DA6" w:rsidRDefault="006A45D9">
      <w:pPr>
        <w:pStyle w:val="Style4"/>
        <w:spacing w:line="240" w:lineRule="auto"/>
        <w:rPr>
          <w:rStyle w:val="FontStyle51"/>
          <w:b w:val="0"/>
          <w:sz w:val="28"/>
          <w:szCs w:val="28"/>
        </w:rPr>
      </w:pPr>
      <w:r>
        <w:rPr>
          <w:rStyle w:val="FontStyle51"/>
          <w:b w:val="0"/>
          <w:sz w:val="28"/>
          <w:szCs w:val="28"/>
        </w:rPr>
        <w:t>МИНИСТЕРСТВО ЭКОНОМИЧЕСКОГО РАЗВИТИЯ</w:t>
      </w:r>
    </w:p>
    <w:p w:rsidR="00583DA6" w:rsidRDefault="006A45D9">
      <w:pPr>
        <w:pStyle w:val="Style4"/>
        <w:spacing w:line="240" w:lineRule="auto"/>
        <w:rPr>
          <w:rStyle w:val="FontStyle51"/>
          <w:b w:val="0"/>
          <w:sz w:val="28"/>
          <w:szCs w:val="28"/>
        </w:rPr>
      </w:pPr>
      <w:r>
        <w:rPr>
          <w:rStyle w:val="FontStyle51"/>
          <w:b w:val="0"/>
          <w:sz w:val="28"/>
          <w:szCs w:val="28"/>
        </w:rPr>
        <w:t>КАМЧАТСКОГО КРАЯ</w:t>
      </w:r>
    </w:p>
    <w:p w:rsidR="00583DA6" w:rsidRDefault="00583DA6">
      <w:pPr>
        <w:pStyle w:val="Style4"/>
        <w:spacing w:line="240" w:lineRule="auto"/>
        <w:jc w:val="right"/>
        <w:rPr>
          <w:rStyle w:val="FontStyle51"/>
          <w:b w:val="0"/>
          <w:sz w:val="26"/>
          <w:szCs w:val="26"/>
        </w:rPr>
      </w:pPr>
    </w:p>
    <w:p w:rsidR="00583DA6" w:rsidRDefault="00583DA6">
      <w:pPr>
        <w:ind w:left="5580"/>
        <w:rPr>
          <w:rFonts w:ascii="Times New Roman" w:hAnsi="Times New Roman"/>
          <w:sz w:val="26"/>
          <w:szCs w:val="26"/>
        </w:rPr>
      </w:pPr>
    </w:p>
    <w:p w:rsidR="00583DA6" w:rsidRDefault="00583DA6">
      <w:pPr>
        <w:pStyle w:val="Style4"/>
        <w:tabs>
          <w:tab w:val="left" w:pos="5670"/>
        </w:tabs>
        <w:spacing w:line="240" w:lineRule="auto"/>
        <w:rPr>
          <w:rStyle w:val="FontStyle51"/>
          <w:sz w:val="26"/>
          <w:szCs w:val="26"/>
        </w:rPr>
      </w:pPr>
    </w:p>
    <w:p w:rsidR="00583DA6" w:rsidRDefault="006A45D9">
      <w:pPr>
        <w:pStyle w:val="Style4"/>
        <w:tabs>
          <w:tab w:val="left" w:pos="8265"/>
        </w:tabs>
        <w:spacing w:line="240" w:lineRule="auto"/>
        <w:jc w:val="left"/>
        <w:rPr>
          <w:rStyle w:val="FontStyle51"/>
          <w:sz w:val="26"/>
          <w:szCs w:val="26"/>
        </w:rPr>
      </w:pPr>
      <w:r>
        <w:rPr>
          <w:rStyle w:val="FontStyle51"/>
          <w:sz w:val="26"/>
          <w:szCs w:val="26"/>
        </w:rPr>
        <w:tab/>
      </w:r>
    </w:p>
    <w:p w:rsidR="00583DA6" w:rsidRDefault="00583DA6">
      <w:pPr>
        <w:pStyle w:val="Style4"/>
        <w:spacing w:line="240" w:lineRule="auto"/>
        <w:rPr>
          <w:rStyle w:val="FontStyle51"/>
          <w:sz w:val="26"/>
          <w:szCs w:val="26"/>
        </w:rPr>
      </w:pPr>
    </w:p>
    <w:p w:rsidR="00583DA6" w:rsidRDefault="00583DA6">
      <w:pPr>
        <w:pStyle w:val="Style4"/>
        <w:spacing w:line="240" w:lineRule="auto"/>
        <w:rPr>
          <w:rStyle w:val="FontStyle51"/>
          <w:b w:val="0"/>
          <w:sz w:val="26"/>
          <w:szCs w:val="26"/>
        </w:rPr>
      </w:pPr>
    </w:p>
    <w:p w:rsidR="00583DA6" w:rsidRDefault="00583DA6">
      <w:pPr>
        <w:pStyle w:val="Style4"/>
        <w:spacing w:line="240" w:lineRule="auto"/>
        <w:rPr>
          <w:rStyle w:val="FontStyle51"/>
          <w:b w:val="0"/>
          <w:sz w:val="26"/>
          <w:szCs w:val="26"/>
        </w:rPr>
      </w:pPr>
    </w:p>
    <w:p w:rsidR="00583DA6" w:rsidRDefault="00583DA6">
      <w:pPr>
        <w:pStyle w:val="Style4"/>
        <w:spacing w:line="240" w:lineRule="auto"/>
        <w:rPr>
          <w:rStyle w:val="FontStyle51"/>
          <w:sz w:val="26"/>
          <w:szCs w:val="26"/>
        </w:rPr>
      </w:pPr>
    </w:p>
    <w:p w:rsidR="00583DA6" w:rsidRDefault="00583DA6">
      <w:pPr>
        <w:pStyle w:val="Style4"/>
        <w:spacing w:line="240" w:lineRule="auto"/>
        <w:rPr>
          <w:rStyle w:val="FontStyle51"/>
          <w:sz w:val="26"/>
          <w:szCs w:val="26"/>
        </w:rPr>
      </w:pPr>
    </w:p>
    <w:p w:rsidR="00583DA6" w:rsidRDefault="00583DA6">
      <w:pPr>
        <w:pStyle w:val="Style4"/>
        <w:spacing w:line="240" w:lineRule="auto"/>
        <w:rPr>
          <w:rStyle w:val="FontStyle51"/>
          <w:sz w:val="26"/>
          <w:szCs w:val="26"/>
        </w:rPr>
      </w:pPr>
    </w:p>
    <w:p w:rsidR="00583DA6" w:rsidRDefault="00583DA6">
      <w:pPr>
        <w:pStyle w:val="Style4"/>
        <w:spacing w:line="240" w:lineRule="auto"/>
        <w:rPr>
          <w:rStyle w:val="FontStyle51"/>
          <w:sz w:val="26"/>
          <w:szCs w:val="26"/>
        </w:rPr>
      </w:pPr>
    </w:p>
    <w:p w:rsidR="00583DA6" w:rsidRDefault="00583DA6">
      <w:pPr>
        <w:pStyle w:val="Style7"/>
        <w:jc w:val="center"/>
        <w:rPr>
          <w:sz w:val="26"/>
          <w:szCs w:val="26"/>
        </w:rPr>
      </w:pPr>
    </w:p>
    <w:p w:rsidR="00583DA6" w:rsidRDefault="006A45D9">
      <w:pPr>
        <w:pStyle w:val="Style7"/>
        <w:jc w:val="center"/>
        <w:rPr>
          <w:sz w:val="32"/>
          <w:szCs w:val="32"/>
        </w:rPr>
      </w:pPr>
      <w:r>
        <w:rPr>
          <w:sz w:val="32"/>
          <w:szCs w:val="32"/>
        </w:rPr>
        <w:t xml:space="preserve">СВОДНЫЙ ГОДОВОЙ ДОКЛАД </w:t>
      </w:r>
    </w:p>
    <w:p w:rsidR="00583DA6" w:rsidRDefault="006A45D9">
      <w:pPr>
        <w:pStyle w:val="Style7"/>
        <w:jc w:val="center"/>
        <w:rPr>
          <w:sz w:val="32"/>
          <w:szCs w:val="32"/>
        </w:rPr>
      </w:pPr>
      <w:r>
        <w:rPr>
          <w:sz w:val="32"/>
          <w:szCs w:val="32"/>
        </w:rPr>
        <w:t xml:space="preserve">О ХОДЕ РЕАЛИЗАЦИИ И ОЦЕНКЕ ЭФФЕКТИВНОСТИ ГОСУДАРСТВЕННЫХ ПРОГРАММ КАМЧАТСКОГО КРАЯ </w:t>
      </w:r>
    </w:p>
    <w:p w:rsidR="00583DA6" w:rsidRDefault="006A45D9">
      <w:pPr>
        <w:pStyle w:val="Style7"/>
        <w:jc w:val="center"/>
        <w:rPr>
          <w:sz w:val="32"/>
          <w:szCs w:val="32"/>
        </w:rPr>
      </w:pPr>
      <w:r>
        <w:rPr>
          <w:sz w:val="32"/>
          <w:szCs w:val="32"/>
        </w:rPr>
        <w:t xml:space="preserve">ЗА 2022 ГОД </w:t>
      </w:r>
    </w:p>
    <w:p w:rsidR="00583DA6" w:rsidRDefault="00583DA6">
      <w:pPr>
        <w:pStyle w:val="Style7"/>
        <w:jc w:val="center"/>
        <w:rPr>
          <w:sz w:val="26"/>
          <w:szCs w:val="26"/>
        </w:rPr>
      </w:pPr>
    </w:p>
    <w:p w:rsidR="00583DA6" w:rsidRDefault="00583DA6">
      <w:pPr>
        <w:pStyle w:val="Style7"/>
        <w:jc w:val="center"/>
        <w:rPr>
          <w:sz w:val="26"/>
          <w:szCs w:val="26"/>
        </w:rPr>
      </w:pPr>
    </w:p>
    <w:p w:rsidR="00583DA6" w:rsidRDefault="00583DA6">
      <w:pPr>
        <w:pStyle w:val="Style7"/>
        <w:jc w:val="center"/>
        <w:rPr>
          <w:sz w:val="26"/>
          <w:szCs w:val="26"/>
        </w:rPr>
      </w:pPr>
    </w:p>
    <w:p w:rsidR="00583DA6" w:rsidRDefault="00583DA6">
      <w:pPr>
        <w:pStyle w:val="Style7"/>
        <w:jc w:val="center"/>
        <w:rPr>
          <w:sz w:val="26"/>
          <w:szCs w:val="26"/>
        </w:rPr>
      </w:pPr>
    </w:p>
    <w:p w:rsidR="00583DA6" w:rsidRDefault="00583DA6">
      <w:pPr>
        <w:pStyle w:val="Style7"/>
        <w:jc w:val="center"/>
        <w:rPr>
          <w:sz w:val="26"/>
          <w:szCs w:val="26"/>
        </w:rPr>
      </w:pPr>
    </w:p>
    <w:p w:rsidR="00583DA6" w:rsidRDefault="00583DA6">
      <w:pPr>
        <w:pStyle w:val="Style7"/>
        <w:jc w:val="center"/>
        <w:rPr>
          <w:sz w:val="26"/>
          <w:szCs w:val="26"/>
        </w:rPr>
      </w:pPr>
    </w:p>
    <w:p w:rsidR="00583DA6" w:rsidRDefault="00583DA6">
      <w:pPr>
        <w:pStyle w:val="Style7"/>
        <w:jc w:val="center"/>
        <w:rPr>
          <w:sz w:val="26"/>
          <w:szCs w:val="26"/>
        </w:rPr>
      </w:pPr>
    </w:p>
    <w:p w:rsidR="00583DA6" w:rsidRDefault="00583DA6">
      <w:pPr>
        <w:pStyle w:val="Style7"/>
        <w:jc w:val="center"/>
        <w:rPr>
          <w:sz w:val="26"/>
          <w:szCs w:val="26"/>
        </w:rPr>
      </w:pPr>
    </w:p>
    <w:p w:rsidR="00583DA6" w:rsidRDefault="00583DA6">
      <w:pPr>
        <w:pStyle w:val="Style7"/>
        <w:jc w:val="center"/>
        <w:rPr>
          <w:sz w:val="26"/>
          <w:szCs w:val="26"/>
        </w:rPr>
      </w:pPr>
    </w:p>
    <w:p w:rsidR="00583DA6" w:rsidRDefault="00583DA6">
      <w:pPr>
        <w:pStyle w:val="Style7"/>
        <w:jc w:val="center"/>
        <w:rPr>
          <w:sz w:val="26"/>
          <w:szCs w:val="26"/>
        </w:rPr>
      </w:pPr>
    </w:p>
    <w:p w:rsidR="00583DA6" w:rsidRDefault="00583DA6">
      <w:pPr>
        <w:pStyle w:val="Style7"/>
        <w:jc w:val="center"/>
        <w:rPr>
          <w:sz w:val="26"/>
          <w:szCs w:val="26"/>
        </w:rPr>
      </w:pPr>
    </w:p>
    <w:p w:rsidR="00583DA6" w:rsidRDefault="00583DA6">
      <w:pPr>
        <w:pStyle w:val="Style7"/>
        <w:jc w:val="center"/>
        <w:rPr>
          <w:sz w:val="26"/>
          <w:szCs w:val="26"/>
        </w:rPr>
      </w:pPr>
    </w:p>
    <w:p w:rsidR="00583DA6" w:rsidRDefault="00583DA6">
      <w:pPr>
        <w:pStyle w:val="Style7"/>
        <w:jc w:val="center"/>
        <w:rPr>
          <w:sz w:val="26"/>
          <w:szCs w:val="26"/>
        </w:rPr>
      </w:pPr>
    </w:p>
    <w:p w:rsidR="00583DA6" w:rsidRDefault="00583DA6">
      <w:pPr>
        <w:pStyle w:val="Style7"/>
        <w:jc w:val="center"/>
        <w:rPr>
          <w:sz w:val="26"/>
          <w:szCs w:val="26"/>
        </w:rPr>
      </w:pPr>
    </w:p>
    <w:p w:rsidR="00583DA6" w:rsidRDefault="00583DA6">
      <w:pPr>
        <w:pStyle w:val="Style7"/>
        <w:jc w:val="center"/>
        <w:rPr>
          <w:sz w:val="26"/>
          <w:szCs w:val="26"/>
        </w:rPr>
      </w:pPr>
    </w:p>
    <w:p w:rsidR="00583DA6" w:rsidRDefault="00583DA6">
      <w:pPr>
        <w:pStyle w:val="Style7"/>
        <w:jc w:val="center"/>
        <w:rPr>
          <w:sz w:val="26"/>
          <w:szCs w:val="26"/>
        </w:rPr>
      </w:pPr>
    </w:p>
    <w:p w:rsidR="00583DA6" w:rsidRDefault="00583DA6">
      <w:pPr>
        <w:pStyle w:val="Style7"/>
        <w:jc w:val="center"/>
        <w:rPr>
          <w:sz w:val="26"/>
          <w:szCs w:val="26"/>
        </w:rPr>
      </w:pPr>
    </w:p>
    <w:p w:rsidR="00583DA6" w:rsidRDefault="00583DA6">
      <w:pPr>
        <w:pStyle w:val="Style7"/>
        <w:jc w:val="center"/>
        <w:rPr>
          <w:sz w:val="26"/>
          <w:szCs w:val="26"/>
        </w:rPr>
      </w:pPr>
    </w:p>
    <w:p w:rsidR="00583DA6" w:rsidRDefault="00583DA6">
      <w:pPr>
        <w:pStyle w:val="Style7"/>
        <w:jc w:val="center"/>
        <w:rPr>
          <w:sz w:val="26"/>
          <w:szCs w:val="26"/>
        </w:rPr>
      </w:pPr>
    </w:p>
    <w:p w:rsidR="00583DA6" w:rsidRDefault="00583DA6">
      <w:pPr>
        <w:pStyle w:val="Style7"/>
        <w:jc w:val="center"/>
        <w:rPr>
          <w:sz w:val="26"/>
          <w:szCs w:val="26"/>
        </w:rPr>
      </w:pPr>
    </w:p>
    <w:p w:rsidR="00583DA6" w:rsidRDefault="00583DA6">
      <w:pPr>
        <w:pStyle w:val="Style7"/>
        <w:tabs>
          <w:tab w:val="left" w:pos="7620"/>
        </w:tabs>
        <w:rPr>
          <w:sz w:val="26"/>
          <w:szCs w:val="26"/>
        </w:rPr>
      </w:pPr>
    </w:p>
    <w:tbl>
      <w:tblPr>
        <w:tblW w:w="9072" w:type="dxa"/>
        <w:tblInd w:w="392" w:type="dxa"/>
        <w:tblLayout w:type="fixed"/>
        <w:tblLook w:val="01E0" w:firstRow="1" w:lastRow="1" w:firstColumn="1" w:lastColumn="1" w:noHBand="0" w:noVBand="0"/>
      </w:tblPr>
      <w:tblGrid>
        <w:gridCol w:w="9072"/>
      </w:tblGrid>
      <w:tr w:rsidR="00583DA6">
        <w:trPr>
          <w:trHeight w:val="807"/>
        </w:trPr>
        <w:tc>
          <w:tcPr>
            <w:tcW w:w="9072" w:type="dxa"/>
            <w:vAlign w:val="center"/>
          </w:tcPr>
          <w:p w:rsidR="00583DA6" w:rsidRDefault="006A45D9">
            <w:pPr>
              <w:pStyle w:val="Style7"/>
              <w:jc w:val="center"/>
            </w:pPr>
            <w:r>
              <w:t>2023 ГОД</w:t>
            </w:r>
          </w:p>
        </w:tc>
      </w:tr>
    </w:tbl>
    <w:p w:rsidR="00583DA6" w:rsidRDefault="00583DA6">
      <w:pPr>
        <w:pStyle w:val="Style7"/>
        <w:rPr>
          <w:sz w:val="26"/>
          <w:szCs w:val="26"/>
        </w:rPr>
      </w:pPr>
    </w:p>
    <w:p w:rsidR="00583DA6" w:rsidRDefault="00583DA6">
      <w:pPr>
        <w:jc w:val="center"/>
        <w:rPr>
          <w:rFonts w:ascii="Times New Roman" w:hAnsi="Times New Roman"/>
          <w:b/>
          <w:sz w:val="26"/>
          <w:szCs w:val="26"/>
        </w:rPr>
      </w:pPr>
    </w:p>
    <w:p w:rsidR="00583DA6" w:rsidRDefault="00583DA6">
      <w:pPr>
        <w:jc w:val="center"/>
        <w:rPr>
          <w:rFonts w:ascii="Times New Roman" w:hAnsi="Times New Roman"/>
          <w:b/>
          <w:sz w:val="26"/>
          <w:szCs w:val="26"/>
        </w:rPr>
      </w:pPr>
    </w:p>
    <w:sdt>
      <w:sdtPr>
        <w:rPr>
          <w:rFonts w:ascii="Calibri" w:eastAsia="Calibri" w:hAnsi="Calibri" w:cs="Times New Roman"/>
          <w:color w:val="auto"/>
          <w:sz w:val="22"/>
          <w:szCs w:val="22"/>
          <w:lang w:eastAsia="en-US"/>
        </w:rPr>
        <w:id w:val="-292445314"/>
        <w:docPartObj>
          <w:docPartGallery w:val="Table of Contents"/>
          <w:docPartUnique/>
        </w:docPartObj>
      </w:sdtPr>
      <w:sdtEndPr/>
      <w:sdtContent>
        <w:p w:rsidR="00583DA6" w:rsidRDefault="006A45D9">
          <w:pPr>
            <w:pStyle w:val="afff0"/>
            <w:jc w:val="center"/>
            <w:rPr>
              <w:rFonts w:ascii="Times New Roman" w:hAnsi="Times New Roman" w:cs="Times New Roman"/>
              <w:b/>
              <w:color w:val="auto"/>
              <w:sz w:val="28"/>
              <w:szCs w:val="28"/>
            </w:rPr>
          </w:pPr>
          <w:r>
            <w:rPr>
              <w:rFonts w:ascii="Times New Roman" w:hAnsi="Times New Roman" w:cs="Times New Roman"/>
              <w:b/>
              <w:color w:val="auto"/>
              <w:sz w:val="28"/>
              <w:szCs w:val="28"/>
            </w:rPr>
            <w:t>Оглавление</w:t>
          </w:r>
        </w:p>
        <w:p w:rsidR="00583DA6" w:rsidRDefault="006A45D9">
          <w:pPr>
            <w:pStyle w:val="1d"/>
            <w:tabs>
              <w:tab w:val="left" w:pos="440"/>
              <w:tab w:val="right" w:leader="dot" w:pos="9631"/>
            </w:tabs>
            <w:rPr>
              <w:rFonts w:ascii="Times New Roman" w:hAnsi="Times New Roman"/>
              <w:sz w:val="28"/>
              <w:szCs w:val="28"/>
              <w:lang w:eastAsia="ru-RU"/>
            </w:rPr>
          </w:pPr>
          <w:r>
            <w:fldChar w:fldCharType="begin"/>
          </w:r>
          <w:r>
            <w:rPr>
              <w:rStyle w:val="aff3"/>
              <w:rFonts w:ascii="Times New Roman" w:hAnsi="Times New Roman"/>
              <w:b/>
              <w:webHidden/>
              <w:sz w:val="28"/>
              <w:szCs w:val="28"/>
            </w:rPr>
            <w:instrText xml:space="preserve"> TOC \z \o "1-3" \u \h</w:instrText>
          </w:r>
          <w:r>
            <w:rPr>
              <w:rStyle w:val="aff3"/>
              <w:rFonts w:ascii="Times New Roman" w:hAnsi="Times New Roman"/>
              <w:b/>
              <w:sz w:val="28"/>
              <w:szCs w:val="28"/>
            </w:rPr>
            <w:fldChar w:fldCharType="separate"/>
          </w:r>
          <w:hyperlink w:anchor="_Toc132664191">
            <w:r>
              <w:rPr>
                <w:rStyle w:val="aff3"/>
                <w:rFonts w:ascii="Times New Roman" w:hAnsi="Times New Roman"/>
                <w:b/>
                <w:webHidden/>
                <w:sz w:val="28"/>
                <w:szCs w:val="28"/>
              </w:rPr>
              <w:t>1.</w:t>
            </w:r>
            <w:r>
              <w:rPr>
                <w:rStyle w:val="aff3"/>
                <w:rFonts w:ascii="Times New Roman" w:eastAsiaTheme="minorEastAsia" w:hAnsi="Times New Roman"/>
                <w:sz w:val="28"/>
                <w:szCs w:val="28"/>
                <w:lang w:eastAsia="ru-RU"/>
              </w:rPr>
              <w:tab/>
            </w:r>
            <w:r>
              <w:rPr>
                <w:rStyle w:val="aff3"/>
                <w:rFonts w:ascii="Times New Roman" w:hAnsi="Times New Roman"/>
                <w:b/>
                <w:sz w:val="28"/>
                <w:szCs w:val="28"/>
              </w:rPr>
              <w:t>Общие сведения о государственных программах Камчатского края</w:t>
            </w:r>
            <w:r>
              <w:rPr>
                <w:webHidden/>
              </w:rPr>
              <w:fldChar w:fldCharType="begin"/>
            </w:r>
            <w:r>
              <w:rPr>
                <w:webHidden/>
              </w:rPr>
              <w:instrText>PAGEREF _Toc132664191 \h</w:instrText>
            </w:r>
            <w:r>
              <w:rPr>
                <w:webHidden/>
              </w:rPr>
            </w:r>
            <w:r>
              <w:rPr>
                <w:webHidden/>
              </w:rPr>
              <w:fldChar w:fldCharType="separate"/>
            </w:r>
            <w:r>
              <w:rPr>
                <w:rStyle w:val="aff3"/>
                <w:rFonts w:ascii="Times New Roman" w:hAnsi="Times New Roman"/>
                <w:sz w:val="28"/>
                <w:szCs w:val="28"/>
              </w:rPr>
              <w:tab/>
              <w:t>2</w:t>
            </w:r>
            <w:r>
              <w:rPr>
                <w:webHidden/>
              </w:rPr>
              <w:fldChar w:fldCharType="end"/>
            </w:r>
          </w:hyperlink>
        </w:p>
        <w:p w:rsidR="00583DA6" w:rsidRDefault="006A45D9">
          <w:pPr>
            <w:pStyle w:val="1d"/>
            <w:tabs>
              <w:tab w:val="left" w:pos="440"/>
              <w:tab w:val="right" w:leader="dot" w:pos="9631"/>
            </w:tabs>
            <w:rPr>
              <w:rFonts w:ascii="Times New Roman" w:hAnsi="Times New Roman"/>
              <w:sz w:val="28"/>
              <w:szCs w:val="28"/>
              <w:lang w:eastAsia="ru-RU"/>
            </w:rPr>
          </w:pPr>
          <w:hyperlink w:anchor="_Toc132664192">
            <w:r>
              <w:rPr>
                <w:rStyle w:val="aff3"/>
                <w:rFonts w:ascii="Times New Roman" w:hAnsi="Times New Roman"/>
                <w:b/>
                <w:webHidden/>
                <w:sz w:val="28"/>
                <w:szCs w:val="28"/>
              </w:rPr>
              <w:t>2.</w:t>
            </w:r>
            <w:r>
              <w:rPr>
                <w:rStyle w:val="aff3"/>
                <w:rFonts w:ascii="Times New Roman" w:eastAsiaTheme="minorEastAsia" w:hAnsi="Times New Roman"/>
                <w:sz w:val="28"/>
                <w:szCs w:val="28"/>
                <w:lang w:eastAsia="ru-RU"/>
              </w:rPr>
              <w:tab/>
            </w:r>
            <w:r>
              <w:rPr>
                <w:rStyle w:val="aff3"/>
                <w:rFonts w:ascii="Times New Roman" w:hAnsi="Times New Roman"/>
                <w:b/>
                <w:sz w:val="28"/>
                <w:szCs w:val="28"/>
              </w:rPr>
              <w:t>Сводные данные о ходе реализации государственных программ Камчатского края, включая сведения об основных результатах и наступлении контрольных событий з</w:t>
            </w:r>
            <w:r>
              <w:rPr>
                <w:rStyle w:val="aff3"/>
                <w:rFonts w:ascii="Times New Roman" w:hAnsi="Times New Roman"/>
                <w:b/>
                <w:sz w:val="28"/>
                <w:szCs w:val="28"/>
              </w:rPr>
              <w:t>а отчетный период, в том числе инвестиционной программы</w:t>
            </w:r>
            <w:r>
              <w:rPr>
                <w:webHidden/>
              </w:rPr>
              <w:fldChar w:fldCharType="begin"/>
            </w:r>
            <w:r>
              <w:rPr>
                <w:webHidden/>
              </w:rPr>
              <w:instrText>PAGEREF _Toc132664192 \h</w:instrText>
            </w:r>
            <w:r>
              <w:rPr>
                <w:webHidden/>
              </w:rPr>
            </w:r>
            <w:r>
              <w:rPr>
                <w:webHidden/>
              </w:rPr>
              <w:fldChar w:fldCharType="separate"/>
            </w:r>
            <w:r>
              <w:rPr>
                <w:rStyle w:val="aff3"/>
                <w:rFonts w:ascii="Times New Roman" w:hAnsi="Times New Roman"/>
                <w:sz w:val="28"/>
                <w:szCs w:val="28"/>
              </w:rPr>
              <w:tab/>
              <w:t>6</w:t>
            </w:r>
            <w:r>
              <w:rPr>
                <w:webHidden/>
              </w:rPr>
              <w:fldChar w:fldCharType="end"/>
            </w:r>
          </w:hyperlink>
        </w:p>
        <w:p w:rsidR="00583DA6" w:rsidRDefault="006A45D9">
          <w:pPr>
            <w:pStyle w:val="37"/>
            <w:tabs>
              <w:tab w:val="right" w:leader="dot" w:pos="9631"/>
            </w:tabs>
            <w:rPr>
              <w:rFonts w:ascii="Times New Roman" w:hAnsi="Times New Roman"/>
              <w:sz w:val="28"/>
              <w:szCs w:val="28"/>
              <w:lang w:eastAsia="ru-RU"/>
            </w:rPr>
          </w:pPr>
          <w:hyperlink w:anchor="_Toc132664193">
            <w:r>
              <w:rPr>
                <w:rStyle w:val="aff3"/>
                <w:rFonts w:ascii="Times New Roman" w:eastAsia="Times New Roman" w:hAnsi="Times New Roman"/>
                <w:b/>
                <w:webHidden/>
                <w:sz w:val="28"/>
                <w:szCs w:val="28"/>
                <w:lang w:eastAsia="ru-RU"/>
              </w:rPr>
              <w:t>Демография, здоровье, физическая культура и спорт</w:t>
            </w:r>
            <w:r>
              <w:rPr>
                <w:webHidden/>
              </w:rPr>
              <w:fldChar w:fldCharType="begin"/>
            </w:r>
            <w:r>
              <w:rPr>
                <w:webHidden/>
              </w:rPr>
              <w:instrText xml:space="preserve">PAGEREF _Toc132664193 </w:instrText>
            </w:r>
            <w:r>
              <w:rPr>
                <w:webHidden/>
              </w:rPr>
              <w:instrText>\h</w:instrText>
            </w:r>
            <w:r>
              <w:rPr>
                <w:webHidden/>
              </w:rPr>
            </w:r>
            <w:r>
              <w:rPr>
                <w:webHidden/>
              </w:rPr>
              <w:fldChar w:fldCharType="separate"/>
            </w:r>
            <w:r>
              <w:rPr>
                <w:rStyle w:val="aff3"/>
                <w:rFonts w:ascii="Times New Roman" w:hAnsi="Times New Roman"/>
                <w:sz w:val="28"/>
                <w:szCs w:val="28"/>
              </w:rPr>
              <w:tab/>
              <w:t>6</w:t>
            </w:r>
            <w:r>
              <w:rPr>
                <w:webHidden/>
              </w:rPr>
              <w:fldChar w:fldCharType="end"/>
            </w:r>
          </w:hyperlink>
        </w:p>
        <w:p w:rsidR="00583DA6" w:rsidRDefault="006A45D9">
          <w:pPr>
            <w:pStyle w:val="37"/>
            <w:tabs>
              <w:tab w:val="right" w:leader="dot" w:pos="9631"/>
            </w:tabs>
            <w:rPr>
              <w:rFonts w:ascii="Times New Roman" w:hAnsi="Times New Roman"/>
              <w:sz w:val="28"/>
              <w:szCs w:val="28"/>
              <w:lang w:eastAsia="ru-RU"/>
            </w:rPr>
          </w:pPr>
          <w:hyperlink w:anchor="_Toc132664194">
            <w:r>
              <w:rPr>
                <w:rStyle w:val="aff3"/>
                <w:rFonts w:ascii="Times New Roman" w:hAnsi="Times New Roman"/>
                <w:b/>
                <w:webHidden/>
                <w:sz w:val="28"/>
                <w:szCs w:val="28"/>
              </w:rPr>
              <w:t>Здравоохранение</w:t>
            </w:r>
            <w:r>
              <w:rPr>
                <w:webHidden/>
              </w:rPr>
              <w:fldChar w:fldCharType="begin"/>
            </w:r>
            <w:r>
              <w:rPr>
                <w:webHidden/>
              </w:rPr>
              <w:instrText>PAGEREF _Toc132664194 \h</w:instrText>
            </w:r>
            <w:r>
              <w:rPr>
                <w:webHidden/>
              </w:rPr>
            </w:r>
            <w:r>
              <w:rPr>
                <w:webHidden/>
              </w:rPr>
              <w:fldChar w:fldCharType="separate"/>
            </w:r>
            <w:r>
              <w:rPr>
                <w:rStyle w:val="aff3"/>
                <w:rFonts w:ascii="Times New Roman" w:hAnsi="Times New Roman"/>
                <w:sz w:val="28"/>
                <w:szCs w:val="28"/>
              </w:rPr>
              <w:tab/>
              <w:t>10</w:t>
            </w:r>
            <w:r>
              <w:rPr>
                <w:webHidden/>
              </w:rPr>
              <w:fldChar w:fldCharType="end"/>
            </w:r>
          </w:hyperlink>
        </w:p>
        <w:p w:rsidR="00583DA6" w:rsidRDefault="006A45D9">
          <w:pPr>
            <w:pStyle w:val="37"/>
            <w:tabs>
              <w:tab w:val="right" w:leader="dot" w:pos="9631"/>
            </w:tabs>
            <w:rPr>
              <w:rFonts w:ascii="Times New Roman" w:hAnsi="Times New Roman"/>
              <w:sz w:val="28"/>
              <w:szCs w:val="28"/>
              <w:lang w:eastAsia="ru-RU"/>
            </w:rPr>
          </w:pPr>
          <w:hyperlink w:anchor="_Toc132664195">
            <w:r>
              <w:rPr>
                <w:rStyle w:val="aff3"/>
                <w:rFonts w:ascii="Times New Roman" w:eastAsia="Times New Roman" w:hAnsi="Times New Roman"/>
                <w:b/>
                <w:webHidden/>
                <w:sz w:val="28"/>
                <w:szCs w:val="28"/>
                <w:lang w:eastAsia="ru-RU"/>
              </w:rPr>
              <w:t>Образование</w:t>
            </w:r>
            <w:r>
              <w:rPr>
                <w:webHidden/>
              </w:rPr>
              <w:fldChar w:fldCharType="begin"/>
            </w:r>
            <w:r>
              <w:rPr>
                <w:webHidden/>
              </w:rPr>
              <w:instrText>PAGEREF _Toc132664195 \h</w:instrText>
            </w:r>
            <w:r>
              <w:rPr>
                <w:webHidden/>
              </w:rPr>
            </w:r>
            <w:r>
              <w:rPr>
                <w:webHidden/>
              </w:rPr>
              <w:fldChar w:fldCharType="separate"/>
            </w:r>
            <w:r>
              <w:rPr>
                <w:rStyle w:val="aff3"/>
                <w:rFonts w:ascii="Times New Roman" w:hAnsi="Times New Roman"/>
                <w:sz w:val="28"/>
                <w:szCs w:val="28"/>
              </w:rPr>
              <w:tab/>
              <w:t>11</w:t>
            </w:r>
            <w:r>
              <w:rPr>
                <w:webHidden/>
              </w:rPr>
              <w:fldChar w:fldCharType="end"/>
            </w:r>
          </w:hyperlink>
        </w:p>
        <w:p w:rsidR="00583DA6" w:rsidRDefault="006A45D9">
          <w:pPr>
            <w:pStyle w:val="37"/>
            <w:tabs>
              <w:tab w:val="right" w:leader="dot" w:pos="9631"/>
            </w:tabs>
            <w:rPr>
              <w:rFonts w:ascii="Times New Roman" w:hAnsi="Times New Roman"/>
              <w:sz w:val="28"/>
              <w:szCs w:val="28"/>
              <w:lang w:eastAsia="ru-RU"/>
            </w:rPr>
          </w:pPr>
          <w:hyperlink w:anchor="_Toc132664196">
            <w:r>
              <w:rPr>
                <w:rStyle w:val="aff3"/>
                <w:rFonts w:ascii="Times New Roman" w:eastAsia="Times New Roman" w:hAnsi="Times New Roman"/>
                <w:b/>
                <w:webHidden/>
                <w:sz w:val="28"/>
                <w:szCs w:val="28"/>
                <w:lang w:eastAsia="ru-RU"/>
              </w:rPr>
              <w:t>Культура</w:t>
            </w:r>
            <w:r>
              <w:rPr>
                <w:webHidden/>
              </w:rPr>
              <w:fldChar w:fldCharType="begin"/>
            </w:r>
            <w:r>
              <w:rPr>
                <w:webHidden/>
              </w:rPr>
              <w:instrText>PAGEREF _Toc132664196 \h</w:instrText>
            </w:r>
            <w:r>
              <w:rPr>
                <w:webHidden/>
              </w:rPr>
            </w:r>
            <w:r>
              <w:rPr>
                <w:webHidden/>
              </w:rPr>
              <w:fldChar w:fldCharType="separate"/>
            </w:r>
            <w:r>
              <w:rPr>
                <w:rStyle w:val="aff3"/>
                <w:rFonts w:ascii="Times New Roman" w:hAnsi="Times New Roman"/>
                <w:sz w:val="28"/>
                <w:szCs w:val="28"/>
              </w:rPr>
              <w:tab/>
              <w:t>13</w:t>
            </w:r>
            <w:r>
              <w:rPr>
                <w:webHidden/>
              </w:rPr>
              <w:fldChar w:fldCharType="end"/>
            </w:r>
          </w:hyperlink>
        </w:p>
        <w:p w:rsidR="00583DA6" w:rsidRDefault="006A45D9">
          <w:pPr>
            <w:pStyle w:val="37"/>
            <w:tabs>
              <w:tab w:val="right" w:leader="dot" w:pos="9631"/>
            </w:tabs>
            <w:rPr>
              <w:rFonts w:ascii="Times New Roman" w:hAnsi="Times New Roman"/>
              <w:sz w:val="28"/>
              <w:szCs w:val="28"/>
              <w:lang w:eastAsia="ru-RU"/>
            </w:rPr>
          </w:pPr>
          <w:hyperlink w:anchor="_Toc132664197">
            <w:r>
              <w:rPr>
                <w:rStyle w:val="aff3"/>
                <w:rFonts w:ascii="Times New Roman" w:eastAsia="Times New Roman" w:hAnsi="Times New Roman"/>
                <w:b/>
                <w:webHidden/>
                <w:sz w:val="28"/>
                <w:szCs w:val="28"/>
                <w:lang w:eastAsia="ru-RU"/>
              </w:rPr>
              <w:t>Общество</w:t>
            </w:r>
            <w:r>
              <w:rPr>
                <w:webHidden/>
              </w:rPr>
              <w:fldChar w:fldCharType="begin"/>
            </w:r>
            <w:r>
              <w:rPr>
                <w:webHidden/>
              </w:rPr>
              <w:instrText>PAGEREF _Toc132664197 \h</w:instrText>
            </w:r>
            <w:r>
              <w:rPr>
                <w:webHidden/>
              </w:rPr>
            </w:r>
            <w:r>
              <w:rPr>
                <w:webHidden/>
              </w:rPr>
              <w:fldChar w:fldCharType="separate"/>
            </w:r>
            <w:r>
              <w:rPr>
                <w:rStyle w:val="aff3"/>
                <w:rFonts w:ascii="Times New Roman" w:hAnsi="Times New Roman"/>
                <w:sz w:val="28"/>
                <w:szCs w:val="28"/>
              </w:rPr>
              <w:tab/>
              <w:t>15</w:t>
            </w:r>
            <w:r>
              <w:rPr>
                <w:webHidden/>
              </w:rPr>
              <w:fldChar w:fldCharType="end"/>
            </w:r>
          </w:hyperlink>
        </w:p>
        <w:p w:rsidR="00583DA6" w:rsidRDefault="006A45D9">
          <w:pPr>
            <w:pStyle w:val="37"/>
            <w:tabs>
              <w:tab w:val="right" w:leader="dot" w:pos="9631"/>
            </w:tabs>
            <w:rPr>
              <w:rFonts w:ascii="Times New Roman" w:hAnsi="Times New Roman"/>
              <w:sz w:val="28"/>
              <w:szCs w:val="28"/>
              <w:lang w:eastAsia="ru-RU"/>
            </w:rPr>
          </w:pPr>
          <w:hyperlink w:anchor="_Toc132664198">
            <w:r>
              <w:rPr>
                <w:rStyle w:val="aff3"/>
                <w:rFonts w:ascii="Times New Roman" w:eastAsia="Times New Roman" w:hAnsi="Times New Roman"/>
                <w:b/>
                <w:webHidden/>
                <w:sz w:val="28"/>
                <w:szCs w:val="28"/>
                <w:lang w:eastAsia="ru-RU"/>
              </w:rPr>
              <w:t>Занятость и труд</w:t>
            </w:r>
            <w:r>
              <w:rPr>
                <w:webHidden/>
              </w:rPr>
              <w:fldChar w:fldCharType="begin"/>
            </w:r>
            <w:r>
              <w:rPr>
                <w:webHidden/>
              </w:rPr>
              <w:instrText>PAGEREF _Toc132664198 \h</w:instrText>
            </w:r>
            <w:r>
              <w:rPr>
                <w:webHidden/>
              </w:rPr>
            </w:r>
            <w:r>
              <w:rPr>
                <w:webHidden/>
              </w:rPr>
              <w:fldChar w:fldCharType="separate"/>
            </w:r>
            <w:r>
              <w:rPr>
                <w:rStyle w:val="aff3"/>
                <w:rFonts w:ascii="Times New Roman" w:hAnsi="Times New Roman"/>
                <w:sz w:val="28"/>
                <w:szCs w:val="28"/>
              </w:rPr>
              <w:tab/>
              <w:t>17</w:t>
            </w:r>
            <w:r>
              <w:rPr>
                <w:webHidden/>
              </w:rPr>
              <w:fldChar w:fldCharType="end"/>
            </w:r>
          </w:hyperlink>
        </w:p>
        <w:p w:rsidR="00583DA6" w:rsidRDefault="006A45D9">
          <w:pPr>
            <w:pStyle w:val="37"/>
            <w:tabs>
              <w:tab w:val="right" w:leader="dot" w:pos="9631"/>
            </w:tabs>
            <w:rPr>
              <w:rFonts w:ascii="Times New Roman" w:hAnsi="Times New Roman"/>
              <w:sz w:val="28"/>
              <w:szCs w:val="28"/>
              <w:lang w:eastAsia="ru-RU"/>
            </w:rPr>
          </w:pPr>
          <w:hyperlink w:anchor="_Toc132664199">
            <w:r>
              <w:rPr>
                <w:rStyle w:val="aff3"/>
                <w:rFonts w:ascii="Times New Roman" w:eastAsia="Times New Roman" w:hAnsi="Times New Roman"/>
                <w:b/>
                <w:webHidden/>
                <w:sz w:val="28"/>
                <w:szCs w:val="28"/>
                <w:lang w:eastAsia="ru-RU"/>
              </w:rPr>
              <w:t>Эффективное государство</w:t>
            </w:r>
            <w:r>
              <w:rPr>
                <w:webHidden/>
              </w:rPr>
              <w:fldChar w:fldCharType="begin"/>
            </w:r>
            <w:r>
              <w:rPr>
                <w:webHidden/>
              </w:rPr>
              <w:instrText>PAGEREF _Toc132664199 \h</w:instrText>
            </w:r>
            <w:r>
              <w:rPr>
                <w:webHidden/>
              </w:rPr>
            </w:r>
            <w:r>
              <w:rPr>
                <w:webHidden/>
              </w:rPr>
              <w:fldChar w:fldCharType="separate"/>
            </w:r>
            <w:r>
              <w:rPr>
                <w:rStyle w:val="aff3"/>
                <w:rFonts w:ascii="Times New Roman" w:hAnsi="Times New Roman"/>
                <w:sz w:val="28"/>
                <w:szCs w:val="28"/>
              </w:rPr>
              <w:tab/>
              <w:t>18</w:t>
            </w:r>
            <w:r>
              <w:rPr>
                <w:webHidden/>
              </w:rPr>
              <w:fldChar w:fldCharType="end"/>
            </w:r>
          </w:hyperlink>
        </w:p>
        <w:p w:rsidR="00583DA6" w:rsidRDefault="006A45D9">
          <w:pPr>
            <w:pStyle w:val="37"/>
            <w:tabs>
              <w:tab w:val="right" w:leader="dot" w:pos="9631"/>
            </w:tabs>
            <w:rPr>
              <w:rFonts w:ascii="Times New Roman" w:hAnsi="Times New Roman"/>
              <w:sz w:val="28"/>
              <w:szCs w:val="28"/>
              <w:lang w:eastAsia="ru-RU"/>
            </w:rPr>
          </w:pPr>
          <w:hyperlink w:anchor="_Toc132664200">
            <w:r>
              <w:rPr>
                <w:rStyle w:val="aff3"/>
                <w:rFonts w:ascii="Times New Roman" w:hAnsi="Times New Roman"/>
                <w:b/>
                <w:webHidden/>
                <w:sz w:val="28"/>
                <w:szCs w:val="28"/>
              </w:rPr>
              <w:t>Сельское хозяйство</w:t>
            </w:r>
            <w:r>
              <w:rPr>
                <w:webHidden/>
              </w:rPr>
              <w:fldChar w:fldCharType="begin"/>
            </w:r>
            <w:r>
              <w:rPr>
                <w:webHidden/>
              </w:rPr>
              <w:instrText>PAGEREF _Toc132664200 \h</w:instrText>
            </w:r>
            <w:r>
              <w:rPr>
                <w:webHidden/>
              </w:rPr>
            </w:r>
            <w:r>
              <w:rPr>
                <w:webHidden/>
              </w:rPr>
              <w:fldChar w:fldCharType="separate"/>
            </w:r>
            <w:r>
              <w:rPr>
                <w:rStyle w:val="aff3"/>
                <w:rFonts w:ascii="Times New Roman" w:hAnsi="Times New Roman"/>
                <w:sz w:val="28"/>
                <w:szCs w:val="28"/>
              </w:rPr>
              <w:tab/>
            </w:r>
            <w:r>
              <w:rPr>
                <w:rStyle w:val="aff3"/>
                <w:rFonts w:ascii="Times New Roman" w:hAnsi="Times New Roman"/>
                <w:sz w:val="28"/>
                <w:szCs w:val="28"/>
              </w:rPr>
              <w:t>23</w:t>
            </w:r>
            <w:r>
              <w:rPr>
                <w:webHidden/>
              </w:rPr>
              <w:fldChar w:fldCharType="end"/>
            </w:r>
          </w:hyperlink>
        </w:p>
        <w:p w:rsidR="00583DA6" w:rsidRDefault="006A45D9">
          <w:pPr>
            <w:pStyle w:val="37"/>
            <w:tabs>
              <w:tab w:val="right" w:leader="dot" w:pos="9631"/>
            </w:tabs>
            <w:rPr>
              <w:rFonts w:ascii="Times New Roman" w:hAnsi="Times New Roman"/>
              <w:sz w:val="28"/>
              <w:szCs w:val="28"/>
              <w:lang w:eastAsia="ru-RU"/>
            </w:rPr>
          </w:pPr>
          <w:hyperlink w:anchor="_Toc132664201">
            <w:r>
              <w:rPr>
                <w:rStyle w:val="aff3"/>
                <w:rFonts w:ascii="Times New Roman" w:eastAsia="Times New Roman" w:hAnsi="Times New Roman"/>
                <w:b/>
                <w:webHidden/>
                <w:sz w:val="28"/>
                <w:szCs w:val="28"/>
                <w:lang w:eastAsia="ru-RU"/>
              </w:rPr>
              <w:t>Социальные услуги</w:t>
            </w:r>
            <w:r>
              <w:rPr>
                <w:webHidden/>
              </w:rPr>
              <w:fldChar w:fldCharType="begin"/>
            </w:r>
            <w:r>
              <w:rPr>
                <w:webHidden/>
              </w:rPr>
              <w:instrText>PAGEREF _Toc132664201 \h</w:instrText>
            </w:r>
            <w:r>
              <w:rPr>
                <w:webHidden/>
              </w:rPr>
            </w:r>
            <w:r>
              <w:rPr>
                <w:webHidden/>
              </w:rPr>
              <w:fldChar w:fldCharType="separate"/>
            </w:r>
            <w:r>
              <w:rPr>
                <w:rStyle w:val="aff3"/>
                <w:rFonts w:ascii="Times New Roman" w:hAnsi="Times New Roman"/>
                <w:sz w:val="28"/>
                <w:szCs w:val="28"/>
              </w:rPr>
              <w:tab/>
              <w:t>27</w:t>
            </w:r>
            <w:r>
              <w:rPr>
                <w:webHidden/>
              </w:rPr>
              <w:fldChar w:fldCharType="end"/>
            </w:r>
          </w:hyperlink>
        </w:p>
        <w:p w:rsidR="00583DA6" w:rsidRDefault="006A45D9">
          <w:pPr>
            <w:pStyle w:val="37"/>
            <w:tabs>
              <w:tab w:val="right" w:leader="dot" w:pos="9631"/>
            </w:tabs>
            <w:rPr>
              <w:rFonts w:ascii="Times New Roman" w:hAnsi="Times New Roman"/>
              <w:sz w:val="28"/>
              <w:szCs w:val="28"/>
              <w:lang w:eastAsia="ru-RU"/>
            </w:rPr>
          </w:pPr>
          <w:hyperlink w:anchor="_Toc132664202">
            <w:r>
              <w:rPr>
                <w:rStyle w:val="aff3"/>
                <w:rFonts w:ascii="Times New Roman" w:eastAsia="Times New Roman" w:hAnsi="Times New Roman"/>
                <w:b/>
                <w:webHidden/>
                <w:sz w:val="28"/>
                <w:szCs w:val="28"/>
                <w:lang w:eastAsia="ru-RU"/>
              </w:rPr>
              <w:t>Жильё, коммунальное хозяйство, благоустройство</w:t>
            </w:r>
            <w:r>
              <w:rPr>
                <w:webHidden/>
              </w:rPr>
              <w:fldChar w:fldCharType="begin"/>
            </w:r>
            <w:r>
              <w:rPr>
                <w:webHidden/>
              </w:rPr>
              <w:instrText>PAGEREF _Toc132664202 \h</w:instrText>
            </w:r>
            <w:r>
              <w:rPr>
                <w:webHidden/>
              </w:rPr>
            </w:r>
            <w:r>
              <w:rPr>
                <w:webHidden/>
              </w:rPr>
              <w:fldChar w:fldCharType="separate"/>
            </w:r>
            <w:r>
              <w:rPr>
                <w:rStyle w:val="aff3"/>
                <w:rFonts w:ascii="Times New Roman" w:hAnsi="Times New Roman"/>
                <w:sz w:val="28"/>
                <w:szCs w:val="28"/>
              </w:rPr>
              <w:tab/>
              <w:t>28</w:t>
            </w:r>
            <w:r>
              <w:rPr>
                <w:webHidden/>
              </w:rPr>
              <w:fldChar w:fldCharType="end"/>
            </w:r>
          </w:hyperlink>
        </w:p>
        <w:p w:rsidR="00583DA6" w:rsidRDefault="006A45D9">
          <w:pPr>
            <w:pStyle w:val="37"/>
            <w:tabs>
              <w:tab w:val="right" w:leader="dot" w:pos="9631"/>
            </w:tabs>
            <w:rPr>
              <w:rFonts w:ascii="Times New Roman" w:hAnsi="Times New Roman"/>
              <w:sz w:val="28"/>
              <w:szCs w:val="28"/>
              <w:lang w:eastAsia="ru-RU"/>
            </w:rPr>
          </w:pPr>
          <w:hyperlink w:anchor="_Toc132664203">
            <w:r>
              <w:rPr>
                <w:rStyle w:val="aff3"/>
                <w:rFonts w:ascii="Times New Roman" w:eastAsia="Times New Roman" w:hAnsi="Times New Roman"/>
                <w:b/>
                <w:webHidden/>
                <w:sz w:val="28"/>
                <w:szCs w:val="28"/>
                <w:lang w:eastAsia="ru-RU"/>
              </w:rPr>
              <w:t>Экономика, промышленность, туризм</w:t>
            </w:r>
            <w:r>
              <w:rPr>
                <w:webHidden/>
              </w:rPr>
              <w:fldChar w:fldCharType="begin"/>
            </w:r>
            <w:r>
              <w:rPr>
                <w:webHidden/>
              </w:rPr>
              <w:instrText>PAGEREF _Toc132664203 \h</w:instrText>
            </w:r>
            <w:r>
              <w:rPr>
                <w:webHidden/>
              </w:rPr>
            </w:r>
            <w:r>
              <w:rPr>
                <w:webHidden/>
              </w:rPr>
              <w:fldChar w:fldCharType="separate"/>
            </w:r>
            <w:r>
              <w:rPr>
                <w:rStyle w:val="aff3"/>
                <w:rFonts w:ascii="Times New Roman" w:hAnsi="Times New Roman"/>
                <w:sz w:val="28"/>
                <w:szCs w:val="28"/>
              </w:rPr>
              <w:tab/>
              <w:t>32</w:t>
            </w:r>
            <w:r>
              <w:rPr>
                <w:webHidden/>
              </w:rPr>
              <w:fldChar w:fldCharType="end"/>
            </w:r>
          </w:hyperlink>
        </w:p>
        <w:p w:rsidR="00583DA6" w:rsidRDefault="006A45D9">
          <w:pPr>
            <w:pStyle w:val="37"/>
            <w:tabs>
              <w:tab w:val="right" w:leader="dot" w:pos="9631"/>
            </w:tabs>
            <w:rPr>
              <w:rFonts w:ascii="Times New Roman" w:hAnsi="Times New Roman"/>
              <w:sz w:val="28"/>
              <w:szCs w:val="28"/>
              <w:lang w:eastAsia="ru-RU"/>
            </w:rPr>
          </w:pPr>
          <w:hyperlink w:anchor="_Toc132664204">
            <w:r>
              <w:rPr>
                <w:rStyle w:val="aff3"/>
                <w:rFonts w:ascii="Times New Roman" w:eastAsia="Times New Roman" w:hAnsi="Times New Roman"/>
                <w:b/>
                <w:webHidden/>
                <w:sz w:val="28"/>
                <w:szCs w:val="28"/>
                <w:lang w:eastAsia="ru-RU"/>
              </w:rPr>
              <w:t>Финансы</w:t>
            </w:r>
            <w:r>
              <w:rPr>
                <w:webHidden/>
              </w:rPr>
              <w:fldChar w:fldCharType="begin"/>
            </w:r>
            <w:r>
              <w:rPr>
                <w:webHidden/>
              </w:rPr>
              <w:instrText>PAGEREF _Toc132664204 \h</w:instrText>
            </w:r>
            <w:r>
              <w:rPr>
                <w:webHidden/>
              </w:rPr>
            </w:r>
            <w:r>
              <w:rPr>
                <w:webHidden/>
              </w:rPr>
              <w:fldChar w:fldCharType="separate"/>
            </w:r>
            <w:r>
              <w:rPr>
                <w:rStyle w:val="aff3"/>
                <w:rFonts w:ascii="Times New Roman" w:hAnsi="Times New Roman"/>
                <w:sz w:val="28"/>
                <w:szCs w:val="28"/>
              </w:rPr>
              <w:tab/>
              <w:t>36</w:t>
            </w:r>
            <w:r>
              <w:rPr>
                <w:webHidden/>
              </w:rPr>
              <w:fldChar w:fldCharType="end"/>
            </w:r>
          </w:hyperlink>
        </w:p>
        <w:p w:rsidR="00583DA6" w:rsidRDefault="006A45D9">
          <w:pPr>
            <w:pStyle w:val="37"/>
            <w:tabs>
              <w:tab w:val="right" w:leader="dot" w:pos="9631"/>
            </w:tabs>
            <w:rPr>
              <w:rFonts w:ascii="Times New Roman" w:hAnsi="Times New Roman"/>
              <w:sz w:val="28"/>
              <w:szCs w:val="28"/>
              <w:lang w:eastAsia="ru-RU"/>
            </w:rPr>
          </w:pPr>
          <w:hyperlink w:anchor="_Toc132664205">
            <w:r>
              <w:rPr>
                <w:rStyle w:val="aff3"/>
                <w:rFonts w:ascii="Times New Roman" w:eastAsia="Times New Roman" w:hAnsi="Times New Roman"/>
                <w:b/>
                <w:webHidden/>
                <w:sz w:val="28"/>
                <w:szCs w:val="28"/>
                <w:lang w:eastAsia="ru-RU"/>
              </w:rPr>
              <w:t>Природные ресурсы и экология</w:t>
            </w:r>
            <w:r>
              <w:rPr>
                <w:webHidden/>
              </w:rPr>
              <w:fldChar w:fldCharType="begin"/>
            </w:r>
            <w:r>
              <w:rPr>
                <w:webHidden/>
              </w:rPr>
              <w:instrText>PAGEREF _Toc132664205 \h</w:instrText>
            </w:r>
            <w:r>
              <w:rPr>
                <w:webHidden/>
              </w:rPr>
            </w:r>
            <w:r>
              <w:rPr>
                <w:webHidden/>
              </w:rPr>
              <w:fldChar w:fldCharType="separate"/>
            </w:r>
            <w:r>
              <w:rPr>
                <w:rStyle w:val="aff3"/>
                <w:rFonts w:ascii="Times New Roman" w:hAnsi="Times New Roman"/>
                <w:sz w:val="28"/>
                <w:szCs w:val="28"/>
              </w:rPr>
              <w:tab/>
              <w:t>37</w:t>
            </w:r>
            <w:r>
              <w:rPr>
                <w:webHidden/>
              </w:rPr>
              <w:fldChar w:fldCharType="end"/>
            </w:r>
          </w:hyperlink>
        </w:p>
        <w:p w:rsidR="00583DA6" w:rsidRDefault="006A45D9">
          <w:pPr>
            <w:pStyle w:val="37"/>
            <w:tabs>
              <w:tab w:val="right" w:leader="dot" w:pos="9631"/>
            </w:tabs>
            <w:rPr>
              <w:rFonts w:ascii="Times New Roman" w:hAnsi="Times New Roman"/>
              <w:sz w:val="28"/>
              <w:szCs w:val="28"/>
              <w:lang w:eastAsia="ru-RU"/>
            </w:rPr>
          </w:pPr>
          <w:hyperlink w:anchor="_Toc132664206">
            <w:r>
              <w:rPr>
                <w:rStyle w:val="aff3"/>
                <w:rFonts w:ascii="Times New Roman" w:eastAsia="Times New Roman" w:hAnsi="Times New Roman"/>
                <w:b/>
                <w:webHidden/>
                <w:sz w:val="28"/>
                <w:szCs w:val="28"/>
                <w:lang w:eastAsia="ru-RU"/>
              </w:rPr>
              <w:t>Транспорт и связь</w:t>
            </w:r>
            <w:r>
              <w:rPr>
                <w:webHidden/>
              </w:rPr>
              <w:fldChar w:fldCharType="begin"/>
            </w:r>
            <w:r>
              <w:rPr>
                <w:webHidden/>
              </w:rPr>
              <w:instrText>PAGEREF _T</w:instrText>
            </w:r>
            <w:r>
              <w:rPr>
                <w:webHidden/>
              </w:rPr>
              <w:instrText>oc132664206 \h</w:instrText>
            </w:r>
            <w:r>
              <w:rPr>
                <w:webHidden/>
              </w:rPr>
            </w:r>
            <w:r>
              <w:rPr>
                <w:webHidden/>
              </w:rPr>
              <w:fldChar w:fldCharType="separate"/>
            </w:r>
            <w:r>
              <w:rPr>
                <w:rStyle w:val="aff3"/>
                <w:rFonts w:ascii="Times New Roman" w:hAnsi="Times New Roman"/>
                <w:sz w:val="28"/>
                <w:szCs w:val="28"/>
              </w:rPr>
              <w:tab/>
              <w:t>40</w:t>
            </w:r>
            <w:r>
              <w:rPr>
                <w:webHidden/>
              </w:rPr>
              <w:fldChar w:fldCharType="end"/>
            </w:r>
          </w:hyperlink>
        </w:p>
        <w:p w:rsidR="00583DA6" w:rsidRDefault="006A45D9">
          <w:pPr>
            <w:pStyle w:val="37"/>
            <w:tabs>
              <w:tab w:val="right" w:leader="dot" w:pos="9631"/>
            </w:tabs>
            <w:rPr>
              <w:rFonts w:ascii="Times New Roman" w:hAnsi="Times New Roman"/>
              <w:sz w:val="28"/>
              <w:szCs w:val="28"/>
              <w:lang w:eastAsia="ru-RU"/>
            </w:rPr>
          </w:pPr>
          <w:hyperlink w:anchor="_Toc132664207">
            <w:r>
              <w:rPr>
                <w:rStyle w:val="aff3"/>
                <w:rFonts w:ascii="Times New Roman" w:eastAsia="Times New Roman" w:hAnsi="Times New Roman"/>
                <w:b/>
                <w:webHidden/>
                <w:sz w:val="28"/>
                <w:szCs w:val="28"/>
                <w:lang w:eastAsia="ru-RU"/>
              </w:rPr>
              <w:t>Безопасность</w:t>
            </w:r>
            <w:r>
              <w:rPr>
                <w:webHidden/>
              </w:rPr>
              <w:fldChar w:fldCharType="begin"/>
            </w:r>
            <w:r>
              <w:rPr>
                <w:webHidden/>
              </w:rPr>
              <w:instrText>PAGEREF _Toc132664207 \h</w:instrText>
            </w:r>
            <w:r>
              <w:rPr>
                <w:webHidden/>
              </w:rPr>
            </w:r>
            <w:r>
              <w:rPr>
                <w:webHidden/>
              </w:rPr>
              <w:fldChar w:fldCharType="separate"/>
            </w:r>
            <w:r>
              <w:rPr>
                <w:rStyle w:val="aff3"/>
                <w:rFonts w:ascii="Times New Roman" w:hAnsi="Times New Roman"/>
                <w:sz w:val="28"/>
                <w:szCs w:val="28"/>
              </w:rPr>
              <w:tab/>
              <w:t>42</w:t>
            </w:r>
            <w:r>
              <w:rPr>
                <w:webHidden/>
              </w:rPr>
              <w:fldChar w:fldCharType="end"/>
            </w:r>
          </w:hyperlink>
        </w:p>
        <w:p w:rsidR="00583DA6" w:rsidRDefault="006A45D9">
          <w:pPr>
            <w:pStyle w:val="37"/>
            <w:tabs>
              <w:tab w:val="right" w:leader="dot" w:pos="9631"/>
            </w:tabs>
            <w:rPr>
              <w:rFonts w:ascii="Times New Roman" w:hAnsi="Times New Roman"/>
              <w:sz w:val="28"/>
              <w:szCs w:val="28"/>
              <w:lang w:eastAsia="ru-RU"/>
            </w:rPr>
          </w:pPr>
          <w:hyperlink w:anchor="_Toc132664208">
            <w:r>
              <w:rPr>
                <w:rStyle w:val="aff3"/>
                <w:rFonts w:ascii="Times New Roman" w:eastAsia="Times New Roman" w:hAnsi="Times New Roman"/>
                <w:b/>
                <w:webHidden/>
                <w:sz w:val="28"/>
                <w:szCs w:val="28"/>
                <w:lang w:eastAsia="ru-RU"/>
              </w:rPr>
              <w:t>Территориальное развитие</w:t>
            </w:r>
            <w:r>
              <w:rPr>
                <w:webHidden/>
              </w:rPr>
              <w:fldChar w:fldCharType="begin"/>
            </w:r>
            <w:r>
              <w:rPr>
                <w:webHidden/>
              </w:rPr>
              <w:instrText>PAGEREF _Toc132664208 \h</w:instrText>
            </w:r>
            <w:r>
              <w:rPr>
                <w:webHidden/>
              </w:rPr>
            </w:r>
            <w:r>
              <w:rPr>
                <w:webHidden/>
              </w:rPr>
              <w:fldChar w:fldCharType="separate"/>
            </w:r>
            <w:r>
              <w:rPr>
                <w:rStyle w:val="aff3"/>
                <w:rFonts w:ascii="Times New Roman" w:hAnsi="Times New Roman"/>
                <w:sz w:val="28"/>
                <w:szCs w:val="28"/>
              </w:rPr>
              <w:tab/>
              <w:t>45</w:t>
            </w:r>
            <w:r>
              <w:rPr>
                <w:webHidden/>
              </w:rPr>
              <w:fldChar w:fldCharType="end"/>
            </w:r>
          </w:hyperlink>
        </w:p>
        <w:p w:rsidR="00583DA6" w:rsidRDefault="006A45D9">
          <w:pPr>
            <w:pStyle w:val="37"/>
            <w:tabs>
              <w:tab w:val="right" w:leader="dot" w:pos="9631"/>
            </w:tabs>
            <w:rPr>
              <w:rFonts w:ascii="Times New Roman" w:hAnsi="Times New Roman"/>
              <w:sz w:val="28"/>
              <w:szCs w:val="28"/>
              <w:lang w:eastAsia="ru-RU"/>
            </w:rPr>
          </w:pPr>
          <w:hyperlink w:anchor="_Toc132664209">
            <w:r>
              <w:rPr>
                <w:rStyle w:val="aff3"/>
                <w:rFonts w:ascii="Times New Roman" w:eastAsia="Times New Roman" w:hAnsi="Times New Roman"/>
                <w:b/>
                <w:webHidden/>
                <w:sz w:val="28"/>
                <w:szCs w:val="28"/>
                <w:lang w:eastAsia="ru-RU"/>
              </w:rPr>
              <w:t>Реализации инвестиционных мероприятий в рамках государственных программ Камчатского края</w:t>
            </w:r>
            <w:r>
              <w:rPr>
                <w:webHidden/>
              </w:rPr>
              <w:fldChar w:fldCharType="begin"/>
            </w:r>
            <w:r>
              <w:rPr>
                <w:webHidden/>
              </w:rPr>
              <w:instrText>PAGEREF _Toc132664209 \h</w:instrText>
            </w:r>
            <w:r>
              <w:rPr>
                <w:webHidden/>
              </w:rPr>
            </w:r>
            <w:r>
              <w:rPr>
                <w:webHidden/>
              </w:rPr>
              <w:fldChar w:fldCharType="separate"/>
            </w:r>
            <w:r>
              <w:rPr>
                <w:rStyle w:val="aff3"/>
                <w:rFonts w:ascii="Times New Roman" w:hAnsi="Times New Roman"/>
                <w:sz w:val="28"/>
                <w:szCs w:val="28"/>
              </w:rPr>
              <w:tab/>
              <w:t>49</w:t>
            </w:r>
            <w:r>
              <w:rPr>
                <w:webHidden/>
              </w:rPr>
              <w:fldChar w:fldCharType="end"/>
            </w:r>
          </w:hyperlink>
        </w:p>
        <w:p w:rsidR="00583DA6" w:rsidRDefault="006A45D9">
          <w:pPr>
            <w:pStyle w:val="1d"/>
            <w:tabs>
              <w:tab w:val="left" w:pos="440"/>
              <w:tab w:val="right" w:leader="dot" w:pos="9631"/>
            </w:tabs>
            <w:rPr>
              <w:rFonts w:ascii="Times New Roman" w:hAnsi="Times New Roman"/>
              <w:sz w:val="28"/>
              <w:szCs w:val="28"/>
              <w:lang w:eastAsia="ru-RU"/>
            </w:rPr>
          </w:pPr>
          <w:hyperlink w:anchor="_Toc132664210">
            <w:r>
              <w:rPr>
                <w:rStyle w:val="aff3"/>
                <w:rFonts w:ascii="Times New Roman" w:hAnsi="Times New Roman"/>
                <w:b/>
                <w:webHidden/>
                <w:sz w:val="28"/>
                <w:szCs w:val="28"/>
              </w:rPr>
              <w:t>3.</w:t>
            </w:r>
            <w:r>
              <w:rPr>
                <w:rStyle w:val="aff3"/>
                <w:rFonts w:ascii="Times New Roman" w:eastAsiaTheme="minorEastAsia" w:hAnsi="Times New Roman"/>
                <w:sz w:val="28"/>
                <w:szCs w:val="28"/>
                <w:lang w:eastAsia="ru-RU"/>
              </w:rPr>
              <w:tab/>
            </w:r>
            <w:r>
              <w:rPr>
                <w:rStyle w:val="aff3"/>
                <w:rFonts w:ascii="Times New Roman" w:hAnsi="Times New Roman"/>
                <w:b/>
                <w:sz w:val="28"/>
                <w:szCs w:val="28"/>
              </w:rPr>
              <w:t xml:space="preserve">Сведения о выполнении расходных </w:t>
            </w:r>
            <w:r>
              <w:rPr>
                <w:rStyle w:val="aff3"/>
                <w:rFonts w:ascii="Times New Roman" w:hAnsi="Times New Roman"/>
                <w:b/>
                <w:sz w:val="28"/>
                <w:szCs w:val="28"/>
              </w:rPr>
              <w:t>обязательств Камчатского края, связанных с реализацией государственных программ Камчатского края</w:t>
            </w:r>
            <w:r>
              <w:rPr>
                <w:webHidden/>
              </w:rPr>
              <w:fldChar w:fldCharType="begin"/>
            </w:r>
            <w:r>
              <w:rPr>
                <w:webHidden/>
              </w:rPr>
              <w:instrText>PAGEREF _Toc132664210 \h</w:instrText>
            </w:r>
            <w:r>
              <w:rPr>
                <w:webHidden/>
              </w:rPr>
            </w:r>
            <w:r>
              <w:rPr>
                <w:webHidden/>
              </w:rPr>
              <w:fldChar w:fldCharType="separate"/>
            </w:r>
            <w:r>
              <w:rPr>
                <w:rStyle w:val="aff3"/>
                <w:rFonts w:ascii="Times New Roman" w:hAnsi="Times New Roman"/>
                <w:sz w:val="28"/>
                <w:szCs w:val="28"/>
              </w:rPr>
              <w:tab/>
              <w:t>55</w:t>
            </w:r>
            <w:r>
              <w:rPr>
                <w:webHidden/>
              </w:rPr>
              <w:fldChar w:fldCharType="end"/>
            </w:r>
          </w:hyperlink>
        </w:p>
        <w:p w:rsidR="00583DA6" w:rsidRDefault="006A45D9">
          <w:pPr>
            <w:pStyle w:val="1d"/>
            <w:tabs>
              <w:tab w:val="right" w:leader="dot" w:pos="9631"/>
            </w:tabs>
            <w:rPr>
              <w:rFonts w:ascii="Times New Roman" w:hAnsi="Times New Roman"/>
              <w:sz w:val="28"/>
              <w:szCs w:val="28"/>
              <w:lang w:eastAsia="ru-RU"/>
            </w:rPr>
          </w:pPr>
          <w:hyperlink w:anchor="_Toc132664211">
            <w:r>
              <w:rPr>
                <w:rStyle w:val="aff3"/>
                <w:rFonts w:ascii="Times New Roman" w:hAnsi="Times New Roman"/>
                <w:b/>
                <w:webHidden/>
                <w:sz w:val="28"/>
                <w:szCs w:val="28"/>
              </w:rPr>
              <w:t xml:space="preserve">4. Оценка деятельности </w:t>
            </w:r>
            <w:r>
              <w:rPr>
                <w:rStyle w:val="aff3"/>
                <w:rFonts w:ascii="Times New Roman" w:hAnsi="Times New Roman"/>
                <w:b/>
                <w:webHidden/>
                <w:sz w:val="28"/>
                <w:szCs w:val="28"/>
              </w:rPr>
              <w:t>ответственных исполнителей в части, касающейся реализации государственных программ Камчатского края</w:t>
            </w:r>
            <w:r>
              <w:rPr>
                <w:webHidden/>
              </w:rPr>
              <w:fldChar w:fldCharType="begin"/>
            </w:r>
            <w:r>
              <w:rPr>
                <w:webHidden/>
              </w:rPr>
              <w:instrText>PAGEREF _Toc132664211 \h</w:instrText>
            </w:r>
            <w:r>
              <w:rPr>
                <w:webHidden/>
              </w:rPr>
            </w:r>
            <w:r>
              <w:rPr>
                <w:webHidden/>
              </w:rPr>
              <w:fldChar w:fldCharType="separate"/>
            </w:r>
            <w:r>
              <w:rPr>
                <w:rStyle w:val="aff3"/>
                <w:rFonts w:ascii="Times New Roman" w:hAnsi="Times New Roman"/>
                <w:sz w:val="28"/>
                <w:szCs w:val="28"/>
              </w:rPr>
              <w:tab/>
              <w:t>55</w:t>
            </w:r>
            <w:r>
              <w:rPr>
                <w:webHidden/>
              </w:rPr>
              <w:fldChar w:fldCharType="end"/>
            </w:r>
          </w:hyperlink>
        </w:p>
        <w:p w:rsidR="00583DA6" w:rsidRDefault="006A45D9">
          <w:pPr>
            <w:pStyle w:val="1d"/>
            <w:tabs>
              <w:tab w:val="right" w:leader="dot" w:pos="9631"/>
            </w:tabs>
            <w:rPr>
              <w:lang w:eastAsia="ru-RU"/>
            </w:rPr>
          </w:pPr>
          <w:r>
            <w:rPr>
              <w:lang w:eastAsia="ru-RU"/>
            </w:rPr>
            <w:fldChar w:fldCharType="end"/>
          </w:r>
        </w:p>
      </w:sdtContent>
    </w:sdt>
    <w:p w:rsidR="00583DA6" w:rsidRDefault="00583DA6">
      <w:pPr>
        <w:jc w:val="right"/>
        <w:rPr>
          <w:rFonts w:ascii="Times New Roman" w:hAnsi="Times New Roman"/>
          <w:b/>
          <w:sz w:val="20"/>
          <w:szCs w:val="20"/>
        </w:rPr>
      </w:pPr>
    </w:p>
    <w:p w:rsidR="00583DA6" w:rsidRDefault="00583DA6">
      <w:pPr>
        <w:jc w:val="right"/>
        <w:rPr>
          <w:rFonts w:ascii="Times New Roman" w:hAnsi="Times New Roman"/>
          <w:b/>
          <w:sz w:val="20"/>
          <w:szCs w:val="20"/>
        </w:rPr>
      </w:pPr>
    </w:p>
    <w:p w:rsidR="00583DA6" w:rsidRDefault="00583DA6">
      <w:pPr>
        <w:jc w:val="right"/>
        <w:rPr>
          <w:rFonts w:ascii="Times New Roman" w:hAnsi="Times New Roman"/>
          <w:b/>
          <w:sz w:val="20"/>
          <w:szCs w:val="20"/>
        </w:rPr>
      </w:pPr>
    </w:p>
    <w:p w:rsidR="00583DA6" w:rsidRDefault="00583DA6">
      <w:pPr>
        <w:jc w:val="right"/>
        <w:rPr>
          <w:rFonts w:ascii="Times New Roman" w:hAnsi="Times New Roman"/>
          <w:b/>
          <w:sz w:val="20"/>
          <w:szCs w:val="20"/>
        </w:rPr>
      </w:pPr>
    </w:p>
    <w:p w:rsidR="00583DA6" w:rsidRDefault="00583DA6">
      <w:pPr>
        <w:jc w:val="right"/>
        <w:rPr>
          <w:rFonts w:ascii="Times New Roman" w:hAnsi="Times New Roman"/>
          <w:b/>
          <w:sz w:val="20"/>
          <w:szCs w:val="20"/>
        </w:rPr>
      </w:pPr>
    </w:p>
    <w:p w:rsidR="00583DA6" w:rsidRDefault="00583DA6">
      <w:pPr>
        <w:jc w:val="right"/>
        <w:rPr>
          <w:rFonts w:ascii="Times New Roman" w:hAnsi="Times New Roman"/>
          <w:b/>
          <w:sz w:val="20"/>
          <w:szCs w:val="20"/>
        </w:rPr>
      </w:pPr>
    </w:p>
    <w:p w:rsidR="00583DA6" w:rsidRDefault="00583DA6">
      <w:pPr>
        <w:jc w:val="right"/>
        <w:rPr>
          <w:rFonts w:ascii="Times New Roman" w:hAnsi="Times New Roman"/>
          <w:b/>
          <w:sz w:val="20"/>
          <w:szCs w:val="20"/>
        </w:rPr>
      </w:pPr>
    </w:p>
    <w:p w:rsidR="00583DA6" w:rsidRDefault="00583DA6">
      <w:pPr>
        <w:jc w:val="right"/>
        <w:rPr>
          <w:rFonts w:ascii="Times New Roman" w:hAnsi="Times New Roman"/>
          <w:b/>
          <w:sz w:val="20"/>
          <w:szCs w:val="20"/>
        </w:rPr>
      </w:pPr>
    </w:p>
    <w:p w:rsidR="00583DA6" w:rsidRDefault="00583DA6">
      <w:pPr>
        <w:jc w:val="right"/>
        <w:rPr>
          <w:rFonts w:ascii="Times New Roman" w:hAnsi="Times New Roman"/>
          <w:b/>
          <w:sz w:val="20"/>
          <w:szCs w:val="20"/>
        </w:rPr>
      </w:pPr>
    </w:p>
    <w:p w:rsidR="00583DA6" w:rsidRDefault="00583DA6">
      <w:pPr>
        <w:jc w:val="right"/>
        <w:rPr>
          <w:rFonts w:ascii="Times New Roman" w:hAnsi="Times New Roman"/>
          <w:b/>
          <w:sz w:val="20"/>
          <w:szCs w:val="20"/>
        </w:rPr>
      </w:pPr>
    </w:p>
    <w:p w:rsidR="00583DA6" w:rsidRDefault="006A45D9">
      <w:pPr>
        <w:numPr>
          <w:ilvl w:val="0"/>
          <w:numId w:val="1"/>
        </w:numPr>
        <w:ind w:left="357" w:hanging="357"/>
        <w:jc w:val="center"/>
        <w:outlineLvl w:val="0"/>
        <w:rPr>
          <w:rFonts w:ascii="Times New Roman" w:hAnsi="Times New Roman"/>
          <w:b/>
          <w:sz w:val="26"/>
          <w:szCs w:val="26"/>
        </w:rPr>
      </w:pPr>
      <w:bookmarkStart w:id="1" w:name="_Toc132664191"/>
      <w:r>
        <w:rPr>
          <w:rFonts w:ascii="Times New Roman" w:hAnsi="Times New Roman"/>
          <w:b/>
          <w:sz w:val="26"/>
          <w:szCs w:val="26"/>
        </w:rPr>
        <w:lastRenderedPageBreak/>
        <w:t xml:space="preserve">Общие сведения о государственных программах </w:t>
      </w:r>
      <w:r>
        <w:rPr>
          <w:rFonts w:ascii="Times New Roman" w:hAnsi="Times New Roman"/>
          <w:b/>
          <w:sz w:val="26"/>
          <w:szCs w:val="26"/>
        </w:rPr>
        <w:t>Камчатского края</w:t>
      </w:r>
      <w:bookmarkEnd w:id="1"/>
    </w:p>
    <w:p w:rsidR="00583DA6" w:rsidRDefault="00583DA6">
      <w:pPr>
        <w:ind w:firstLine="709"/>
        <w:jc w:val="both"/>
        <w:rPr>
          <w:rFonts w:ascii="Times New Roman" w:hAnsi="Times New Roman"/>
          <w:sz w:val="26"/>
          <w:szCs w:val="26"/>
        </w:rPr>
      </w:pPr>
    </w:p>
    <w:p w:rsidR="00583DA6" w:rsidRDefault="006A45D9">
      <w:pPr>
        <w:ind w:firstLine="709"/>
        <w:jc w:val="both"/>
        <w:rPr>
          <w:rFonts w:ascii="Times New Roman" w:hAnsi="Times New Roman"/>
          <w:sz w:val="28"/>
          <w:szCs w:val="28"/>
        </w:rPr>
      </w:pPr>
      <w:r>
        <w:rPr>
          <w:rFonts w:ascii="Times New Roman" w:hAnsi="Times New Roman"/>
          <w:sz w:val="28"/>
          <w:szCs w:val="28"/>
        </w:rPr>
        <w:t>Сводный годовой доклад о ходе реализации и оценке эффективности государственных программ Камчатского края за отчетный год (далее – Сводный доклад) подготовлен в соответствии с Порядком принятия решений о разработке государственных програм</w:t>
      </w:r>
      <w:r>
        <w:rPr>
          <w:rFonts w:ascii="Times New Roman" w:hAnsi="Times New Roman"/>
          <w:sz w:val="28"/>
          <w:szCs w:val="28"/>
        </w:rPr>
        <w:t>м Камчатского края, их формирования и реализации, утвержденным постановлением Правительства Камчатского края от 07.06.2013 № 235-П, Методическими указаниями по разработке и реализации государственных программ Камчатского края, утвержденными приказом Минист</w:t>
      </w:r>
      <w:r>
        <w:rPr>
          <w:rFonts w:ascii="Times New Roman" w:hAnsi="Times New Roman"/>
          <w:sz w:val="28"/>
          <w:szCs w:val="28"/>
        </w:rPr>
        <w:t>ерства экономического развития Камчатского края от 13.02.2023 № 6-Н (далее соответственно – Порядок, Методические указания), на основе сведений, представленных ответственными исполнителями государственных программ в Минэкономразвития Камчатского края.</w:t>
      </w:r>
    </w:p>
    <w:p w:rsidR="00583DA6" w:rsidRDefault="006A45D9">
      <w:pPr>
        <w:ind w:firstLine="709"/>
        <w:jc w:val="both"/>
        <w:rPr>
          <w:rFonts w:ascii="Times New Roman" w:hAnsi="Times New Roman"/>
          <w:sz w:val="28"/>
          <w:szCs w:val="28"/>
        </w:rPr>
      </w:pPr>
      <w:r>
        <w:rPr>
          <w:rFonts w:ascii="Times New Roman" w:hAnsi="Times New Roman"/>
          <w:sz w:val="28"/>
          <w:szCs w:val="28"/>
        </w:rPr>
        <w:t>В от</w:t>
      </w:r>
      <w:r>
        <w:rPr>
          <w:rFonts w:ascii="Times New Roman" w:hAnsi="Times New Roman"/>
          <w:sz w:val="28"/>
          <w:szCs w:val="28"/>
        </w:rPr>
        <w:t>четном году на территории Камчатского края реализовывались мероприятия 27 государственных программ.</w:t>
      </w:r>
    </w:p>
    <w:p w:rsidR="00583DA6" w:rsidRDefault="006A45D9">
      <w:pPr>
        <w:ind w:firstLine="709"/>
        <w:jc w:val="both"/>
        <w:rPr>
          <w:rFonts w:ascii="Times New Roman" w:hAnsi="Times New Roman"/>
          <w:sz w:val="28"/>
          <w:szCs w:val="28"/>
        </w:rPr>
      </w:pPr>
      <w:r>
        <w:rPr>
          <w:rFonts w:ascii="Times New Roman" w:hAnsi="Times New Roman"/>
          <w:sz w:val="28"/>
          <w:szCs w:val="28"/>
        </w:rPr>
        <w:t>На дату формирования Сводного доклада в Минэкономразвития Камчатского края представлено 27 годовых отчетов ответственных исполнителей, включая отчет по госу</w:t>
      </w:r>
      <w:r>
        <w:rPr>
          <w:rFonts w:ascii="Times New Roman" w:hAnsi="Times New Roman"/>
          <w:sz w:val="28"/>
          <w:szCs w:val="28"/>
        </w:rPr>
        <w:t xml:space="preserve">дарственной программе </w:t>
      </w:r>
      <w:r>
        <w:rPr>
          <w:rFonts w:ascii="Times New Roman" w:hAnsi="Times New Roman"/>
          <w:sz w:val="28"/>
          <w:szCs w:val="28"/>
        </w:rPr>
        <w:t>Камчатского края</w:t>
      </w:r>
      <w:r>
        <w:rPr>
          <w:rFonts w:ascii="Times New Roman" w:hAnsi="Times New Roman"/>
          <w:sz w:val="28"/>
          <w:szCs w:val="28"/>
        </w:rPr>
        <w:t xml:space="preserve">, ответственным исполнителем которой является Минэкономразвития Камчатского края. </w:t>
      </w:r>
    </w:p>
    <w:p w:rsidR="00583DA6" w:rsidRDefault="006A45D9">
      <w:pPr>
        <w:ind w:firstLine="709"/>
        <w:jc w:val="both"/>
        <w:rPr>
          <w:rFonts w:ascii="Times New Roman" w:hAnsi="Times New Roman"/>
          <w:sz w:val="28"/>
          <w:szCs w:val="28"/>
        </w:rPr>
      </w:pPr>
      <w:r>
        <w:rPr>
          <w:rFonts w:ascii="Times New Roman" w:hAnsi="Times New Roman"/>
          <w:sz w:val="28"/>
          <w:szCs w:val="28"/>
        </w:rPr>
        <w:t xml:space="preserve">В текущем Сводном докладе информация о реализации государственных программ указывается с учетом влияния мероприятий и показателей </w:t>
      </w:r>
      <w:r>
        <w:rPr>
          <w:rFonts w:ascii="Times New Roman" w:hAnsi="Times New Roman"/>
          <w:sz w:val="28"/>
          <w:szCs w:val="28"/>
        </w:rPr>
        <w:t>(индикаторов) на достижение национальных целей Российской Федерации.</w:t>
      </w:r>
    </w:p>
    <w:p w:rsidR="00583DA6" w:rsidRDefault="006A45D9">
      <w:pPr>
        <w:ind w:firstLine="709"/>
        <w:jc w:val="both"/>
        <w:rPr>
          <w:rFonts w:ascii="Times New Roman" w:hAnsi="Times New Roman"/>
          <w:sz w:val="28"/>
          <w:szCs w:val="28"/>
        </w:rPr>
      </w:pPr>
      <w:r>
        <w:rPr>
          <w:rFonts w:ascii="Times New Roman" w:hAnsi="Times New Roman"/>
          <w:sz w:val="28"/>
          <w:szCs w:val="28"/>
        </w:rPr>
        <w:t>Средняя оценка эффективности реализации государственных программ, рассчитанная на основе годовых отчетов ответственных исполнителей – 0,96 (в 2021 году – 0,94):</w:t>
      </w:r>
    </w:p>
    <w:p w:rsidR="00583DA6" w:rsidRDefault="006A45D9">
      <w:pPr>
        <w:ind w:firstLine="709"/>
        <w:jc w:val="both"/>
        <w:rPr>
          <w:rFonts w:ascii="Times New Roman" w:hAnsi="Times New Roman"/>
          <w:sz w:val="28"/>
          <w:szCs w:val="28"/>
        </w:rPr>
      </w:pPr>
      <w:r>
        <w:rPr>
          <w:rFonts w:ascii="Times New Roman" w:hAnsi="Times New Roman"/>
          <w:sz w:val="28"/>
          <w:szCs w:val="28"/>
        </w:rPr>
        <w:t>высокая эффективность – 19</w:t>
      </w:r>
      <w:r>
        <w:rPr>
          <w:rFonts w:ascii="Times New Roman" w:hAnsi="Times New Roman"/>
          <w:sz w:val="28"/>
          <w:szCs w:val="28"/>
        </w:rPr>
        <w:t xml:space="preserve"> государственных программ (15 в 2021 году);</w:t>
      </w:r>
    </w:p>
    <w:p w:rsidR="00583DA6" w:rsidRDefault="006A45D9">
      <w:pPr>
        <w:ind w:firstLine="709"/>
        <w:jc w:val="both"/>
        <w:rPr>
          <w:rFonts w:ascii="Times New Roman" w:hAnsi="Times New Roman"/>
          <w:sz w:val="28"/>
          <w:szCs w:val="28"/>
        </w:rPr>
      </w:pPr>
      <w:r>
        <w:rPr>
          <w:rFonts w:ascii="Times New Roman" w:hAnsi="Times New Roman"/>
          <w:sz w:val="28"/>
          <w:szCs w:val="28"/>
        </w:rPr>
        <w:t>средняя эффективность – 7 государственных программ (6 в 2021 году);</w:t>
      </w:r>
    </w:p>
    <w:p w:rsidR="00583DA6" w:rsidRDefault="006A45D9">
      <w:pPr>
        <w:ind w:firstLine="709"/>
        <w:jc w:val="both"/>
        <w:rPr>
          <w:rFonts w:ascii="Times New Roman" w:hAnsi="Times New Roman"/>
          <w:sz w:val="28"/>
          <w:szCs w:val="28"/>
        </w:rPr>
      </w:pPr>
      <w:r>
        <w:rPr>
          <w:rFonts w:ascii="Times New Roman" w:hAnsi="Times New Roman"/>
          <w:sz w:val="28"/>
          <w:szCs w:val="28"/>
        </w:rPr>
        <w:t>удовлетворительная эффективность – 1 государственная программа (6 в 2021 году);</w:t>
      </w:r>
    </w:p>
    <w:p w:rsidR="00583DA6" w:rsidRDefault="006A45D9">
      <w:pPr>
        <w:ind w:firstLine="709"/>
        <w:jc w:val="both"/>
        <w:rPr>
          <w:rFonts w:ascii="Times New Roman" w:hAnsi="Times New Roman"/>
          <w:sz w:val="28"/>
          <w:szCs w:val="28"/>
        </w:rPr>
      </w:pPr>
      <w:r>
        <w:rPr>
          <w:rFonts w:ascii="Times New Roman" w:hAnsi="Times New Roman"/>
          <w:sz w:val="28"/>
          <w:szCs w:val="28"/>
        </w:rPr>
        <w:t xml:space="preserve">Средняя оценка достижения показателей государственных программ: </w:t>
      </w:r>
    </w:p>
    <w:p w:rsidR="00583DA6" w:rsidRDefault="006A45D9">
      <w:pPr>
        <w:ind w:firstLine="709"/>
        <w:jc w:val="both"/>
        <w:rPr>
          <w:rFonts w:ascii="Times New Roman" w:hAnsi="Times New Roman"/>
          <w:sz w:val="28"/>
          <w:szCs w:val="28"/>
        </w:rPr>
      </w:pPr>
      <w:r>
        <w:rPr>
          <w:rFonts w:ascii="Times New Roman" w:hAnsi="Times New Roman"/>
          <w:sz w:val="28"/>
          <w:szCs w:val="28"/>
        </w:rPr>
        <w:t xml:space="preserve">составила – 0,94 (0,90 в 2021 году); </w:t>
      </w:r>
    </w:p>
    <w:p w:rsidR="00583DA6" w:rsidRDefault="006A45D9">
      <w:pPr>
        <w:ind w:firstLine="709"/>
        <w:jc w:val="both"/>
        <w:rPr>
          <w:rFonts w:ascii="Times New Roman" w:hAnsi="Times New Roman"/>
          <w:sz w:val="28"/>
          <w:szCs w:val="28"/>
        </w:rPr>
      </w:pPr>
      <w:r>
        <w:rPr>
          <w:rFonts w:ascii="Times New Roman" w:hAnsi="Times New Roman"/>
          <w:sz w:val="28"/>
          <w:szCs w:val="28"/>
        </w:rPr>
        <w:t xml:space="preserve">наступления контрольных событий – 0,95 (0,94 в 2021 году); </w:t>
      </w:r>
    </w:p>
    <w:p w:rsidR="00583DA6" w:rsidRDefault="006A45D9">
      <w:pPr>
        <w:ind w:firstLine="709"/>
        <w:jc w:val="both"/>
        <w:rPr>
          <w:rFonts w:ascii="Times New Roman" w:hAnsi="Times New Roman"/>
          <w:sz w:val="28"/>
          <w:szCs w:val="28"/>
        </w:rPr>
      </w:pPr>
      <w:r>
        <w:rPr>
          <w:rFonts w:ascii="Times New Roman" w:hAnsi="Times New Roman"/>
          <w:sz w:val="28"/>
          <w:szCs w:val="28"/>
        </w:rPr>
        <w:t>освоения финансирования – 0,99 (0,98 в 2021 году).</w:t>
      </w:r>
    </w:p>
    <w:p w:rsidR="00583DA6" w:rsidRDefault="006A45D9">
      <w:pPr>
        <w:ind w:firstLine="709"/>
        <w:jc w:val="both"/>
        <w:rPr>
          <w:rFonts w:ascii="Times New Roman" w:hAnsi="Times New Roman"/>
          <w:sz w:val="28"/>
          <w:szCs w:val="28"/>
        </w:rPr>
      </w:pPr>
      <w:r>
        <w:rPr>
          <w:rFonts w:ascii="Times New Roman" w:hAnsi="Times New Roman"/>
          <w:sz w:val="28"/>
          <w:szCs w:val="28"/>
        </w:rPr>
        <w:t>В среднем эффективность государственных программ Камчатского края улучшилась в сравнении с 2021 годом.</w:t>
      </w:r>
    </w:p>
    <w:p w:rsidR="00583DA6" w:rsidRDefault="00583DA6">
      <w:pPr>
        <w:ind w:firstLine="709"/>
        <w:jc w:val="both"/>
        <w:rPr>
          <w:rFonts w:ascii="Times New Roman" w:hAnsi="Times New Roman"/>
          <w:sz w:val="26"/>
          <w:szCs w:val="26"/>
        </w:rPr>
      </w:pPr>
    </w:p>
    <w:p w:rsidR="00583DA6" w:rsidRDefault="00583DA6">
      <w:pPr>
        <w:ind w:firstLine="709"/>
        <w:jc w:val="both"/>
        <w:rPr>
          <w:rFonts w:ascii="Times New Roman" w:hAnsi="Times New Roman"/>
          <w:sz w:val="26"/>
          <w:szCs w:val="26"/>
        </w:rPr>
      </w:pPr>
    </w:p>
    <w:p w:rsidR="00583DA6" w:rsidRDefault="00583DA6">
      <w:pPr>
        <w:ind w:firstLine="709"/>
        <w:jc w:val="both"/>
        <w:rPr>
          <w:rFonts w:ascii="Times New Roman" w:hAnsi="Times New Roman"/>
          <w:sz w:val="26"/>
          <w:szCs w:val="26"/>
        </w:rPr>
      </w:pPr>
    </w:p>
    <w:p w:rsidR="00583DA6" w:rsidRDefault="00583DA6">
      <w:pPr>
        <w:ind w:firstLine="709"/>
        <w:jc w:val="both"/>
        <w:rPr>
          <w:rFonts w:ascii="Times New Roman" w:hAnsi="Times New Roman"/>
          <w:sz w:val="26"/>
          <w:szCs w:val="26"/>
        </w:rPr>
      </w:pPr>
    </w:p>
    <w:p w:rsidR="00583DA6" w:rsidRDefault="00583DA6">
      <w:pPr>
        <w:ind w:firstLine="709"/>
        <w:jc w:val="both"/>
        <w:rPr>
          <w:rFonts w:ascii="Times New Roman" w:hAnsi="Times New Roman"/>
          <w:sz w:val="26"/>
          <w:szCs w:val="26"/>
        </w:rPr>
      </w:pPr>
    </w:p>
    <w:p w:rsidR="00583DA6" w:rsidRDefault="00583DA6">
      <w:pPr>
        <w:ind w:firstLine="709"/>
        <w:jc w:val="both"/>
        <w:rPr>
          <w:rFonts w:ascii="Times New Roman" w:hAnsi="Times New Roman"/>
          <w:sz w:val="26"/>
          <w:szCs w:val="26"/>
        </w:rPr>
      </w:pPr>
    </w:p>
    <w:p w:rsidR="00583DA6" w:rsidRDefault="00583DA6">
      <w:pPr>
        <w:ind w:firstLine="709"/>
        <w:jc w:val="both"/>
        <w:rPr>
          <w:rFonts w:ascii="Times New Roman" w:hAnsi="Times New Roman"/>
          <w:sz w:val="26"/>
          <w:szCs w:val="26"/>
        </w:rPr>
      </w:pPr>
    </w:p>
    <w:p w:rsidR="00583DA6" w:rsidRDefault="00583DA6">
      <w:pPr>
        <w:ind w:firstLine="709"/>
        <w:jc w:val="both"/>
        <w:rPr>
          <w:rFonts w:ascii="Times New Roman" w:hAnsi="Times New Roman"/>
          <w:sz w:val="26"/>
          <w:szCs w:val="26"/>
        </w:rPr>
      </w:pPr>
    </w:p>
    <w:tbl>
      <w:tblPr>
        <w:tblStyle w:val="afff5"/>
        <w:tblW w:w="9747" w:type="dxa"/>
        <w:tblLayout w:type="fixed"/>
        <w:tblLook w:val="04A0" w:firstRow="1" w:lastRow="0" w:firstColumn="1" w:lastColumn="0" w:noHBand="0" w:noVBand="1"/>
      </w:tblPr>
      <w:tblGrid>
        <w:gridCol w:w="4781"/>
        <w:gridCol w:w="3969"/>
        <w:gridCol w:w="997"/>
      </w:tblGrid>
      <w:tr w:rsidR="00583DA6">
        <w:trPr>
          <w:trHeight w:val="708"/>
        </w:trPr>
        <w:tc>
          <w:tcPr>
            <w:tcW w:w="4781" w:type="dxa"/>
            <w:tcBorders>
              <w:top w:val="nil"/>
              <w:left w:val="nil"/>
              <w:bottom w:val="single" w:sz="18" w:space="0" w:color="000000"/>
              <w:right w:val="nil"/>
            </w:tcBorders>
            <w:vAlign w:val="center"/>
          </w:tcPr>
          <w:p w:rsidR="00583DA6" w:rsidRDefault="006A45D9">
            <w:pPr>
              <w:widowControl w:val="0"/>
              <w:jc w:val="center"/>
              <w:rPr>
                <w:rFonts w:ascii="Times New Roman" w:hAnsi="Times New Roman"/>
                <w:b/>
                <w:sz w:val="26"/>
                <w:szCs w:val="26"/>
              </w:rPr>
            </w:pPr>
            <w:r>
              <w:rPr>
                <w:rFonts w:ascii="Times New Roman" w:hAnsi="Times New Roman"/>
                <w:b/>
                <w:sz w:val="26"/>
                <w:szCs w:val="26"/>
              </w:rPr>
              <w:t>Наименование государственной программы</w:t>
            </w:r>
          </w:p>
        </w:tc>
        <w:tc>
          <w:tcPr>
            <w:tcW w:w="3969" w:type="dxa"/>
            <w:tcBorders>
              <w:top w:val="nil"/>
              <w:left w:val="nil"/>
              <w:bottom w:val="single" w:sz="18" w:space="0" w:color="000000"/>
              <w:right w:val="nil"/>
            </w:tcBorders>
            <w:vAlign w:val="center"/>
          </w:tcPr>
          <w:p w:rsidR="00583DA6" w:rsidRDefault="006A45D9">
            <w:pPr>
              <w:widowControl w:val="0"/>
              <w:jc w:val="center"/>
              <w:rPr>
                <w:rFonts w:ascii="Times New Roman" w:hAnsi="Times New Roman"/>
                <w:b/>
                <w:sz w:val="26"/>
                <w:szCs w:val="26"/>
              </w:rPr>
            </w:pPr>
            <w:r>
              <w:rPr>
                <w:rFonts w:ascii="Times New Roman" w:hAnsi="Times New Roman"/>
                <w:b/>
                <w:sz w:val="26"/>
                <w:szCs w:val="26"/>
              </w:rPr>
              <w:t>Ответственный исполнитель</w:t>
            </w:r>
          </w:p>
        </w:tc>
        <w:tc>
          <w:tcPr>
            <w:tcW w:w="997" w:type="dxa"/>
            <w:tcBorders>
              <w:top w:val="nil"/>
              <w:left w:val="nil"/>
              <w:bottom w:val="single" w:sz="18" w:space="0" w:color="000000"/>
              <w:right w:val="nil"/>
            </w:tcBorders>
            <w:vAlign w:val="center"/>
          </w:tcPr>
          <w:p w:rsidR="00583DA6" w:rsidRDefault="006A45D9">
            <w:pPr>
              <w:widowControl w:val="0"/>
              <w:jc w:val="center"/>
              <w:rPr>
                <w:rFonts w:ascii="Times New Roman" w:hAnsi="Times New Roman"/>
                <w:b/>
                <w:sz w:val="26"/>
                <w:szCs w:val="26"/>
              </w:rPr>
            </w:pPr>
            <w:r>
              <w:rPr>
                <w:rFonts w:ascii="Times New Roman" w:hAnsi="Times New Roman"/>
                <w:b/>
                <w:sz w:val="26"/>
                <w:szCs w:val="26"/>
              </w:rPr>
              <w:t>Э*</w:t>
            </w:r>
          </w:p>
        </w:tc>
      </w:tr>
      <w:tr w:rsidR="00583DA6">
        <w:tc>
          <w:tcPr>
            <w:tcW w:w="4781" w:type="dxa"/>
            <w:tcBorders>
              <w:top w:val="single" w:sz="18" w:space="0" w:color="000000"/>
              <w:left w:val="nil"/>
              <w:right w:val="nil"/>
            </w:tcBorders>
            <w:shd w:val="clear" w:color="auto" w:fill="A8D08D" w:themeFill="accent6" w:themeFillTint="99"/>
          </w:tcPr>
          <w:p w:rsidR="00583DA6" w:rsidRDefault="006A45D9">
            <w:pPr>
              <w:widowControl w:val="0"/>
              <w:rPr>
                <w:rFonts w:ascii="Times New Roman" w:hAnsi="Times New Roman"/>
                <w:sz w:val="24"/>
                <w:szCs w:val="24"/>
              </w:rPr>
            </w:pPr>
            <w:r>
              <w:rPr>
                <w:rFonts w:ascii="Times New Roman" w:hAnsi="Times New Roman"/>
                <w:sz w:val="24"/>
                <w:szCs w:val="24"/>
              </w:rPr>
              <w:t>Сохранение языков коренных малочисленных народов Севера, Сибири и Дальнего Востока Российской Федерации, проживающих в Камчатском крае</w:t>
            </w:r>
          </w:p>
        </w:tc>
        <w:tc>
          <w:tcPr>
            <w:tcW w:w="3969" w:type="dxa"/>
            <w:tcBorders>
              <w:top w:val="single" w:sz="18" w:space="0" w:color="000000"/>
              <w:left w:val="nil"/>
              <w:right w:val="nil"/>
            </w:tcBorders>
            <w:shd w:val="clear" w:color="auto" w:fill="A8D08D" w:themeFill="accent6" w:themeFillTint="99"/>
          </w:tcPr>
          <w:p w:rsidR="00583DA6" w:rsidRDefault="006A45D9">
            <w:pPr>
              <w:widowControl w:val="0"/>
              <w:jc w:val="both"/>
              <w:rPr>
                <w:rFonts w:ascii="Times New Roman" w:hAnsi="Times New Roman"/>
                <w:sz w:val="24"/>
                <w:szCs w:val="24"/>
              </w:rPr>
            </w:pPr>
            <w:r>
              <w:rPr>
                <w:rFonts w:ascii="Times New Roman" w:hAnsi="Times New Roman"/>
                <w:sz w:val="24"/>
                <w:szCs w:val="24"/>
              </w:rPr>
              <w:t>Министерство образования Камчатского края</w:t>
            </w:r>
          </w:p>
        </w:tc>
        <w:tc>
          <w:tcPr>
            <w:tcW w:w="997" w:type="dxa"/>
            <w:tcBorders>
              <w:top w:val="single" w:sz="18" w:space="0" w:color="000000"/>
              <w:left w:val="nil"/>
              <w:right w:val="nil"/>
            </w:tcBorders>
            <w:shd w:val="clear" w:color="auto" w:fill="A8D08D" w:themeFill="accent6" w:themeFillTint="99"/>
            <w:vAlign w:val="center"/>
          </w:tcPr>
          <w:p w:rsidR="00583DA6" w:rsidRDefault="006A45D9">
            <w:pPr>
              <w:widowControl w:val="0"/>
              <w:jc w:val="center"/>
              <w:rPr>
                <w:rFonts w:ascii="Times New Roman" w:hAnsi="Times New Roman"/>
                <w:sz w:val="24"/>
                <w:szCs w:val="24"/>
              </w:rPr>
            </w:pPr>
            <w:r>
              <w:rPr>
                <w:rFonts w:ascii="Times New Roman" w:hAnsi="Times New Roman"/>
                <w:sz w:val="24"/>
                <w:szCs w:val="24"/>
              </w:rPr>
              <w:t>1,00</w:t>
            </w:r>
          </w:p>
        </w:tc>
      </w:tr>
      <w:tr w:rsidR="00583DA6">
        <w:tc>
          <w:tcPr>
            <w:tcW w:w="4781" w:type="dxa"/>
            <w:tcBorders>
              <w:left w:val="nil"/>
              <w:right w:val="nil"/>
            </w:tcBorders>
            <w:shd w:val="clear" w:color="auto" w:fill="A8D08D" w:themeFill="accent6" w:themeFillTint="99"/>
          </w:tcPr>
          <w:p w:rsidR="00583DA6" w:rsidRDefault="006A45D9">
            <w:pPr>
              <w:widowControl w:val="0"/>
              <w:rPr>
                <w:rFonts w:ascii="Times New Roman" w:hAnsi="Times New Roman"/>
                <w:sz w:val="24"/>
                <w:szCs w:val="24"/>
              </w:rPr>
            </w:pPr>
            <w:r>
              <w:rPr>
                <w:rFonts w:ascii="Times New Roman" w:hAnsi="Times New Roman"/>
                <w:sz w:val="24"/>
                <w:szCs w:val="24"/>
              </w:rPr>
              <w:t>Формирование современной городской среды в Камчатском крае</w:t>
            </w:r>
          </w:p>
        </w:tc>
        <w:tc>
          <w:tcPr>
            <w:tcW w:w="3969" w:type="dxa"/>
            <w:tcBorders>
              <w:left w:val="nil"/>
              <w:right w:val="nil"/>
            </w:tcBorders>
            <w:shd w:val="clear" w:color="auto" w:fill="A8D08D" w:themeFill="accent6" w:themeFillTint="99"/>
          </w:tcPr>
          <w:p w:rsidR="00583DA6" w:rsidRDefault="006A45D9">
            <w:pPr>
              <w:widowControl w:val="0"/>
              <w:jc w:val="both"/>
              <w:rPr>
                <w:rFonts w:ascii="Times New Roman" w:hAnsi="Times New Roman"/>
                <w:sz w:val="24"/>
                <w:szCs w:val="24"/>
              </w:rPr>
            </w:pPr>
            <w:r>
              <w:rPr>
                <w:rFonts w:ascii="Times New Roman" w:hAnsi="Times New Roman"/>
                <w:sz w:val="24"/>
                <w:szCs w:val="24"/>
              </w:rPr>
              <w:t>Министерство строительства и жилищной политики Камчатского края</w:t>
            </w:r>
          </w:p>
        </w:tc>
        <w:tc>
          <w:tcPr>
            <w:tcW w:w="997" w:type="dxa"/>
            <w:tcBorders>
              <w:left w:val="nil"/>
              <w:right w:val="nil"/>
            </w:tcBorders>
            <w:shd w:val="clear" w:color="auto" w:fill="A8D08D" w:themeFill="accent6" w:themeFillTint="99"/>
            <w:vAlign w:val="center"/>
          </w:tcPr>
          <w:p w:rsidR="00583DA6" w:rsidRDefault="006A45D9">
            <w:pPr>
              <w:widowControl w:val="0"/>
              <w:jc w:val="center"/>
              <w:rPr>
                <w:rFonts w:ascii="Times New Roman" w:hAnsi="Times New Roman"/>
                <w:sz w:val="24"/>
                <w:szCs w:val="24"/>
              </w:rPr>
            </w:pPr>
            <w:r>
              <w:rPr>
                <w:rFonts w:ascii="Times New Roman" w:hAnsi="Times New Roman"/>
                <w:sz w:val="24"/>
                <w:szCs w:val="24"/>
              </w:rPr>
              <w:t>1,00</w:t>
            </w:r>
          </w:p>
        </w:tc>
      </w:tr>
      <w:tr w:rsidR="00583DA6">
        <w:tc>
          <w:tcPr>
            <w:tcW w:w="4781" w:type="dxa"/>
            <w:tcBorders>
              <w:left w:val="nil"/>
              <w:right w:val="nil"/>
            </w:tcBorders>
            <w:shd w:val="clear" w:color="auto" w:fill="A8D08D" w:themeFill="accent6" w:themeFillTint="99"/>
          </w:tcPr>
          <w:p w:rsidR="00583DA6" w:rsidRDefault="006A45D9">
            <w:pPr>
              <w:widowControl w:val="0"/>
              <w:rPr>
                <w:rFonts w:ascii="Times New Roman" w:hAnsi="Times New Roman"/>
                <w:sz w:val="24"/>
                <w:szCs w:val="24"/>
              </w:rPr>
            </w:pPr>
            <w:r>
              <w:rPr>
                <w:rFonts w:ascii="Times New Roman" w:hAnsi="Times New Roman"/>
                <w:sz w:val="24"/>
                <w:szCs w:val="24"/>
              </w:rPr>
              <w:t>Развитие образования в Камчатском крае</w:t>
            </w:r>
          </w:p>
        </w:tc>
        <w:tc>
          <w:tcPr>
            <w:tcW w:w="3969" w:type="dxa"/>
            <w:tcBorders>
              <w:left w:val="nil"/>
              <w:right w:val="nil"/>
            </w:tcBorders>
            <w:shd w:val="clear" w:color="auto" w:fill="A8D08D" w:themeFill="accent6" w:themeFillTint="99"/>
          </w:tcPr>
          <w:p w:rsidR="00583DA6" w:rsidRDefault="006A45D9">
            <w:pPr>
              <w:widowControl w:val="0"/>
              <w:jc w:val="both"/>
              <w:rPr>
                <w:rFonts w:ascii="Times New Roman" w:hAnsi="Times New Roman"/>
                <w:sz w:val="24"/>
                <w:szCs w:val="24"/>
              </w:rPr>
            </w:pPr>
            <w:r>
              <w:rPr>
                <w:rFonts w:ascii="Times New Roman" w:hAnsi="Times New Roman"/>
                <w:sz w:val="24"/>
                <w:szCs w:val="24"/>
              </w:rPr>
              <w:t>Министерство образования Камчатского края</w:t>
            </w:r>
          </w:p>
        </w:tc>
        <w:tc>
          <w:tcPr>
            <w:tcW w:w="997" w:type="dxa"/>
            <w:tcBorders>
              <w:left w:val="nil"/>
              <w:right w:val="nil"/>
            </w:tcBorders>
            <w:shd w:val="clear" w:color="auto" w:fill="A8D08D" w:themeFill="accent6" w:themeFillTint="99"/>
            <w:vAlign w:val="center"/>
          </w:tcPr>
          <w:p w:rsidR="00583DA6" w:rsidRDefault="006A45D9">
            <w:pPr>
              <w:widowControl w:val="0"/>
              <w:jc w:val="center"/>
              <w:rPr>
                <w:rFonts w:ascii="Times New Roman" w:hAnsi="Times New Roman"/>
                <w:sz w:val="24"/>
                <w:szCs w:val="24"/>
              </w:rPr>
            </w:pPr>
            <w:r>
              <w:rPr>
                <w:rFonts w:ascii="Times New Roman" w:hAnsi="Times New Roman"/>
                <w:sz w:val="24"/>
                <w:szCs w:val="24"/>
              </w:rPr>
              <w:t>1,00</w:t>
            </w:r>
          </w:p>
        </w:tc>
      </w:tr>
      <w:tr w:rsidR="00583DA6">
        <w:tc>
          <w:tcPr>
            <w:tcW w:w="4781" w:type="dxa"/>
            <w:tcBorders>
              <w:left w:val="nil"/>
              <w:right w:val="nil"/>
            </w:tcBorders>
            <w:shd w:val="clear" w:color="auto" w:fill="A8D08D" w:themeFill="accent6" w:themeFillTint="99"/>
          </w:tcPr>
          <w:p w:rsidR="00583DA6" w:rsidRDefault="006A45D9">
            <w:pPr>
              <w:widowControl w:val="0"/>
              <w:rPr>
                <w:rFonts w:ascii="Times New Roman" w:hAnsi="Times New Roman"/>
                <w:sz w:val="24"/>
                <w:szCs w:val="24"/>
              </w:rPr>
            </w:pPr>
            <w:r>
              <w:rPr>
                <w:rFonts w:ascii="Times New Roman" w:hAnsi="Times New Roman"/>
                <w:sz w:val="24"/>
                <w:szCs w:val="24"/>
              </w:rPr>
              <w:t>Реализация государственной национальной</w:t>
            </w:r>
            <w:r>
              <w:rPr>
                <w:rFonts w:ascii="Times New Roman" w:hAnsi="Times New Roman"/>
                <w:sz w:val="24"/>
                <w:szCs w:val="24"/>
              </w:rPr>
              <w:t xml:space="preserve"> политики и укрепление гражданского единства в Камчатском крае</w:t>
            </w:r>
          </w:p>
        </w:tc>
        <w:tc>
          <w:tcPr>
            <w:tcW w:w="3969" w:type="dxa"/>
            <w:tcBorders>
              <w:left w:val="nil"/>
              <w:right w:val="nil"/>
            </w:tcBorders>
            <w:shd w:val="clear" w:color="auto" w:fill="A8D08D" w:themeFill="accent6" w:themeFillTint="99"/>
          </w:tcPr>
          <w:p w:rsidR="00583DA6" w:rsidRDefault="006A45D9">
            <w:pPr>
              <w:widowControl w:val="0"/>
              <w:jc w:val="both"/>
              <w:rPr>
                <w:rFonts w:ascii="Times New Roman" w:hAnsi="Times New Roman"/>
                <w:sz w:val="24"/>
                <w:szCs w:val="24"/>
              </w:rPr>
            </w:pPr>
            <w:r>
              <w:rPr>
                <w:rFonts w:ascii="Times New Roman" w:hAnsi="Times New Roman"/>
                <w:sz w:val="24"/>
                <w:szCs w:val="24"/>
              </w:rPr>
              <w:t>Министерство развития гражданского общества и молодежи Камчатского края</w:t>
            </w:r>
          </w:p>
        </w:tc>
        <w:tc>
          <w:tcPr>
            <w:tcW w:w="997" w:type="dxa"/>
            <w:tcBorders>
              <w:left w:val="nil"/>
              <w:right w:val="nil"/>
            </w:tcBorders>
            <w:shd w:val="clear" w:color="auto" w:fill="A8D08D" w:themeFill="accent6" w:themeFillTint="99"/>
            <w:vAlign w:val="center"/>
          </w:tcPr>
          <w:p w:rsidR="00583DA6" w:rsidRDefault="006A45D9">
            <w:pPr>
              <w:widowControl w:val="0"/>
              <w:jc w:val="center"/>
              <w:rPr>
                <w:rFonts w:ascii="Times New Roman" w:hAnsi="Times New Roman"/>
                <w:sz w:val="24"/>
                <w:szCs w:val="24"/>
              </w:rPr>
            </w:pPr>
            <w:r>
              <w:rPr>
                <w:rFonts w:ascii="Times New Roman" w:hAnsi="Times New Roman"/>
                <w:sz w:val="24"/>
                <w:szCs w:val="24"/>
              </w:rPr>
              <w:t>0,99</w:t>
            </w:r>
          </w:p>
        </w:tc>
      </w:tr>
      <w:tr w:rsidR="00583DA6">
        <w:tc>
          <w:tcPr>
            <w:tcW w:w="4781" w:type="dxa"/>
            <w:tcBorders>
              <w:left w:val="nil"/>
              <w:right w:val="nil"/>
            </w:tcBorders>
            <w:shd w:val="clear" w:color="auto" w:fill="A8D08D" w:themeFill="accent6" w:themeFillTint="99"/>
          </w:tcPr>
          <w:p w:rsidR="00583DA6" w:rsidRDefault="006A45D9">
            <w:pPr>
              <w:widowControl w:val="0"/>
              <w:rPr>
                <w:rFonts w:ascii="Times New Roman" w:hAnsi="Times New Roman"/>
                <w:sz w:val="24"/>
                <w:szCs w:val="24"/>
              </w:rPr>
            </w:pPr>
            <w:r>
              <w:rPr>
                <w:rFonts w:ascii="Times New Roman" w:hAnsi="Times New Roman"/>
                <w:sz w:val="24"/>
                <w:szCs w:val="24"/>
              </w:rPr>
              <w:t>Семья и дети Камчатки</w:t>
            </w:r>
          </w:p>
        </w:tc>
        <w:tc>
          <w:tcPr>
            <w:tcW w:w="3969" w:type="dxa"/>
            <w:tcBorders>
              <w:left w:val="nil"/>
              <w:right w:val="nil"/>
            </w:tcBorders>
            <w:shd w:val="clear" w:color="auto" w:fill="A8D08D" w:themeFill="accent6" w:themeFillTint="99"/>
          </w:tcPr>
          <w:p w:rsidR="00583DA6" w:rsidRDefault="006A45D9">
            <w:pPr>
              <w:widowControl w:val="0"/>
              <w:jc w:val="both"/>
              <w:rPr>
                <w:rFonts w:ascii="Times New Roman" w:hAnsi="Times New Roman"/>
                <w:sz w:val="24"/>
                <w:szCs w:val="24"/>
              </w:rPr>
            </w:pPr>
            <w:r>
              <w:rPr>
                <w:rFonts w:ascii="Times New Roman" w:hAnsi="Times New Roman"/>
                <w:sz w:val="24"/>
                <w:szCs w:val="24"/>
              </w:rPr>
              <w:t>Министерство социального благополучия и семейной политики Камчатского края</w:t>
            </w:r>
          </w:p>
        </w:tc>
        <w:tc>
          <w:tcPr>
            <w:tcW w:w="997" w:type="dxa"/>
            <w:tcBorders>
              <w:left w:val="nil"/>
              <w:right w:val="nil"/>
            </w:tcBorders>
            <w:shd w:val="clear" w:color="auto" w:fill="A8D08D" w:themeFill="accent6" w:themeFillTint="99"/>
            <w:vAlign w:val="center"/>
          </w:tcPr>
          <w:p w:rsidR="00583DA6" w:rsidRDefault="006A45D9">
            <w:pPr>
              <w:widowControl w:val="0"/>
              <w:jc w:val="center"/>
              <w:rPr>
                <w:rFonts w:ascii="Times New Roman" w:hAnsi="Times New Roman"/>
                <w:sz w:val="24"/>
                <w:szCs w:val="24"/>
              </w:rPr>
            </w:pPr>
            <w:r>
              <w:rPr>
                <w:rFonts w:ascii="Times New Roman" w:hAnsi="Times New Roman"/>
                <w:sz w:val="24"/>
                <w:szCs w:val="24"/>
              </w:rPr>
              <w:t>0,99</w:t>
            </w:r>
          </w:p>
        </w:tc>
      </w:tr>
      <w:tr w:rsidR="00583DA6">
        <w:tc>
          <w:tcPr>
            <w:tcW w:w="4781" w:type="dxa"/>
            <w:tcBorders>
              <w:left w:val="nil"/>
              <w:right w:val="nil"/>
            </w:tcBorders>
            <w:shd w:val="clear" w:color="auto" w:fill="A8D08D" w:themeFill="accent6" w:themeFillTint="99"/>
          </w:tcPr>
          <w:p w:rsidR="00583DA6" w:rsidRDefault="006A45D9">
            <w:pPr>
              <w:widowControl w:val="0"/>
              <w:rPr>
                <w:rFonts w:ascii="Times New Roman" w:hAnsi="Times New Roman"/>
                <w:sz w:val="24"/>
                <w:szCs w:val="24"/>
              </w:rPr>
            </w:pPr>
            <w:r>
              <w:rPr>
                <w:rFonts w:ascii="Times New Roman" w:hAnsi="Times New Roman"/>
                <w:sz w:val="24"/>
                <w:szCs w:val="24"/>
              </w:rPr>
              <w:t>Оказание сод</w:t>
            </w:r>
            <w:r>
              <w:rPr>
                <w:rFonts w:ascii="Times New Roman" w:hAnsi="Times New Roman"/>
                <w:sz w:val="24"/>
                <w:szCs w:val="24"/>
              </w:rPr>
              <w:t>ействия добровольному переселению в Камчатский край соотечественников, проживающих за рубежом</w:t>
            </w:r>
          </w:p>
        </w:tc>
        <w:tc>
          <w:tcPr>
            <w:tcW w:w="3969" w:type="dxa"/>
            <w:tcBorders>
              <w:left w:val="nil"/>
              <w:right w:val="nil"/>
            </w:tcBorders>
            <w:shd w:val="clear" w:color="auto" w:fill="A8D08D" w:themeFill="accent6" w:themeFillTint="99"/>
          </w:tcPr>
          <w:p w:rsidR="00583DA6" w:rsidRDefault="006A45D9">
            <w:pPr>
              <w:widowControl w:val="0"/>
              <w:jc w:val="both"/>
              <w:rPr>
                <w:rFonts w:ascii="Times New Roman" w:hAnsi="Times New Roman"/>
                <w:sz w:val="24"/>
                <w:szCs w:val="24"/>
              </w:rPr>
            </w:pPr>
            <w:r>
              <w:rPr>
                <w:rFonts w:ascii="Times New Roman" w:hAnsi="Times New Roman"/>
                <w:sz w:val="24"/>
                <w:szCs w:val="24"/>
              </w:rPr>
              <w:t>Министерство труда и развития кадрового потенциала Камчатского края</w:t>
            </w:r>
          </w:p>
        </w:tc>
        <w:tc>
          <w:tcPr>
            <w:tcW w:w="997" w:type="dxa"/>
            <w:tcBorders>
              <w:left w:val="nil"/>
              <w:right w:val="nil"/>
            </w:tcBorders>
            <w:shd w:val="clear" w:color="auto" w:fill="A8D08D" w:themeFill="accent6" w:themeFillTint="99"/>
            <w:vAlign w:val="center"/>
          </w:tcPr>
          <w:p w:rsidR="00583DA6" w:rsidRDefault="006A45D9">
            <w:pPr>
              <w:widowControl w:val="0"/>
              <w:jc w:val="center"/>
              <w:rPr>
                <w:rFonts w:ascii="Times New Roman" w:hAnsi="Times New Roman"/>
                <w:sz w:val="24"/>
                <w:szCs w:val="24"/>
              </w:rPr>
            </w:pPr>
            <w:r>
              <w:rPr>
                <w:rFonts w:ascii="Times New Roman" w:hAnsi="Times New Roman"/>
                <w:sz w:val="24"/>
                <w:szCs w:val="24"/>
              </w:rPr>
              <w:t>0,98</w:t>
            </w:r>
          </w:p>
        </w:tc>
      </w:tr>
      <w:tr w:rsidR="00583DA6">
        <w:tc>
          <w:tcPr>
            <w:tcW w:w="4781" w:type="dxa"/>
            <w:tcBorders>
              <w:left w:val="nil"/>
              <w:right w:val="nil"/>
            </w:tcBorders>
            <w:shd w:val="clear" w:color="auto" w:fill="A8D08D" w:themeFill="accent6" w:themeFillTint="99"/>
          </w:tcPr>
          <w:p w:rsidR="00583DA6" w:rsidRDefault="006A45D9">
            <w:pPr>
              <w:widowControl w:val="0"/>
              <w:rPr>
                <w:rFonts w:ascii="Times New Roman" w:hAnsi="Times New Roman"/>
                <w:sz w:val="24"/>
                <w:szCs w:val="24"/>
              </w:rPr>
            </w:pPr>
            <w:r>
              <w:rPr>
                <w:rFonts w:ascii="Times New Roman" w:hAnsi="Times New Roman"/>
                <w:sz w:val="24"/>
                <w:szCs w:val="24"/>
              </w:rPr>
              <w:t>Развитие рыбохозяйственного комплекса Камчатского края</w:t>
            </w:r>
          </w:p>
        </w:tc>
        <w:tc>
          <w:tcPr>
            <w:tcW w:w="3969" w:type="dxa"/>
            <w:tcBorders>
              <w:left w:val="nil"/>
              <w:right w:val="nil"/>
            </w:tcBorders>
            <w:shd w:val="clear" w:color="auto" w:fill="A8D08D" w:themeFill="accent6" w:themeFillTint="99"/>
          </w:tcPr>
          <w:p w:rsidR="00583DA6" w:rsidRDefault="006A45D9">
            <w:pPr>
              <w:widowControl w:val="0"/>
              <w:jc w:val="both"/>
              <w:rPr>
                <w:rFonts w:ascii="Times New Roman" w:hAnsi="Times New Roman"/>
                <w:sz w:val="24"/>
                <w:szCs w:val="24"/>
              </w:rPr>
            </w:pPr>
            <w:r>
              <w:rPr>
                <w:rFonts w:ascii="Times New Roman" w:hAnsi="Times New Roman"/>
                <w:sz w:val="24"/>
                <w:szCs w:val="24"/>
              </w:rPr>
              <w:t>Министерство рыбного хозяйства Ка</w:t>
            </w:r>
            <w:r>
              <w:rPr>
                <w:rFonts w:ascii="Times New Roman" w:hAnsi="Times New Roman"/>
                <w:sz w:val="24"/>
                <w:szCs w:val="24"/>
              </w:rPr>
              <w:t>мчатского края</w:t>
            </w:r>
          </w:p>
        </w:tc>
        <w:tc>
          <w:tcPr>
            <w:tcW w:w="997" w:type="dxa"/>
            <w:tcBorders>
              <w:left w:val="nil"/>
              <w:right w:val="nil"/>
            </w:tcBorders>
            <w:shd w:val="clear" w:color="auto" w:fill="A8D08D" w:themeFill="accent6" w:themeFillTint="99"/>
            <w:vAlign w:val="center"/>
          </w:tcPr>
          <w:p w:rsidR="00583DA6" w:rsidRDefault="006A45D9">
            <w:pPr>
              <w:widowControl w:val="0"/>
              <w:jc w:val="center"/>
              <w:rPr>
                <w:rFonts w:ascii="Times New Roman" w:hAnsi="Times New Roman"/>
                <w:sz w:val="24"/>
                <w:szCs w:val="24"/>
              </w:rPr>
            </w:pPr>
            <w:r>
              <w:rPr>
                <w:rFonts w:ascii="Times New Roman" w:hAnsi="Times New Roman"/>
                <w:sz w:val="24"/>
                <w:szCs w:val="24"/>
              </w:rPr>
              <w:t>0,98</w:t>
            </w:r>
          </w:p>
        </w:tc>
      </w:tr>
      <w:tr w:rsidR="00583DA6">
        <w:tc>
          <w:tcPr>
            <w:tcW w:w="4781" w:type="dxa"/>
            <w:tcBorders>
              <w:left w:val="nil"/>
              <w:right w:val="nil"/>
            </w:tcBorders>
            <w:shd w:val="clear" w:color="auto" w:fill="A8D08D" w:themeFill="accent6" w:themeFillTint="99"/>
          </w:tcPr>
          <w:p w:rsidR="00583DA6" w:rsidRDefault="006A45D9">
            <w:pPr>
              <w:widowControl w:val="0"/>
              <w:rPr>
                <w:rFonts w:ascii="Times New Roman" w:hAnsi="Times New Roman"/>
                <w:sz w:val="24"/>
                <w:szCs w:val="24"/>
              </w:rPr>
            </w:pPr>
            <w:r>
              <w:rPr>
                <w:rFonts w:ascii="Times New Roman" w:hAnsi="Times New Roman"/>
                <w:sz w:val="24"/>
                <w:szCs w:val="24"/>
              </w:rPr>
              <w:t>Управление государственными финансами Камчатского края</w:t>
            </w:r>
          </w:p>
        </w:tc>
        <w:tc>
          <w:tcPr>
            <w:tcW w:w="3969" w:type="dxa"/>
            <w:tcBorders>
              <w:left w:val="nil"/>
              <w:right w:val="nil"/>
            </w:tcBorders>
            <w:shd w:val="clear" w:color="auto" w:fill="A8D08D" w:themeFill="accent6" w:themeFillTint="99"/>
          </w:tcPr>
          <w:p w:rsidR="00583DA6" w:rsidRDefault="006A45D9">
            <w:pPr>
              <w:widowControl w:val="0"/>
              <w:jc w:val="both"/>
              <w:rPr>
                <w:rFonts w:ascii="Times New Roman" w:hAnsi="Times New Roman"/>
                <w:sz w:val="24"/>
                <w:szCs w:val="24"/>
              </w:rPr>
            </w:pPr>
            <w:r>
              <w:rPr>
                <w:rFonts w:ascii="Times New Roman" w:hAnsi="Times New Roman"/>
                <w:sz w:val="24"/>
                <w:szCs w:val="24"/>
              </w:rPr>
              <w:t>Министерство финансов Камчатского края</w:t>
            </w:r>
          </w:p>
        </w:tc>
        <w:tc>
          <w:tcPr>
            <w:tcW w:w="997" w:type="dxa"/>
            <w:tcBorders>
              <w:left w:val="nil"/>
              <w:right w:val="nil"/>
            </w:tcBorders>
            <w:shd w:val="clear" w:color="auto" w:fill="A8D08D" w:themeFill="accent6" w:themeFillTint="99"/>
            <w:vAlign w:val="center"/>
          </w:tcPr>
          <w:p w:rsidR="00583DA6" w:rsidRDefault="006A45D9">
            <w:pPr>
              <w:widowControl w:val="0"/>
              <w:jc w:val="center"/>
              <w:rPr>
                <w:rFonts w:ascii="Times New Roman" w:hAnsi="Times New Roman"/>
                <w:sz w:val="24"/>
                <w:szCs w:val="24"/>
              </w:rPr>
            </w:pPr>
            <w:r>
              <w:rPr>
                <w:rFonts w:ascii="Times New Roman" w:hAnsi="Times New Roman"/>
                <w:sz w:val="24"/>
                <w:szCs w:val="24"/>
              </w:rPr>
              <w:t>0,98</w:t>
            </w:r>
          </w:p>
        </w:tc>
      </w:tr>
      <w:tr w:rsidR="00583DA6">
        <w:tc>
          <w:tcPr>
            <w:tcW w:w="4781" w:type="dxa"/>
            <w:tcBorders>
              <w:left w:val="nil"/>
              <w:right w:val="nil"/>
            </w:tcBorders>
            <w:shd w:val="clear" w:color="auto" w:fill="A8D08D" w:themeFill="accent6" w:themeFillTint="99"/>
          </w:tcPr>
          <w:p w:rsidR="00583DA6" w:rsidRDefault="006A45D9">
            <w:pPr>
              <w:widowControl w:val="0"/>
              <w:rPr>
                <w:rFonts w:ascii="Times New Roman" w:hAnsi="Times New Roman"/>
                <w:sz w:val="24"/>
                <w:szCs w:val="24"/>
              </w:rPr>
            </w:pPr>
            <w:r>
              <w:rPr>
                <w:rFonts w:ascii="Times New Roman" w:hAnsi="Times New Roman"/>
                <w:sz w:val="24"/>
                <w:szCs w:val="24"/>
              </w:rPr>
              <w:t>Развитие сельского хозяйства и регулирование рынков сельскохозяйственной продукции, сырья и продовольствия Камчатского края</w:t>
            </w:r>
          </w:p>
        </w:tc>
        <w:tc>
          <w:tcPr>
            <w:tcW w:w="3969" w:type="dxa"/>
            <w:tcBorders>
              <w:left w:val="nil"/>
              <w:right w:val="nil"/>
            </w:tcBorders>
            <w:shd w:val="clear" w:color="auto" w:fill="A8D08D" w:themeFill="accent6" w:themeFillTint="99"/>
          </w:tcPr>
          <w:p w:rsidR="00583DA6" w:rsidRDefault="006A45D9">
            <w:pPr>
              <w:widowControl w:val="0"/>
              <w:jc w:val="both"/>
              <w:rPr>
                <w:rFonts w:ascii="Times New Roman" w:hAnsi="Times New Roman"/>
                <w:sz w:val="24"/>
                <w:szCs w:val="24"/>
              </w:rPr>
            </w:pPr>
            <w:r>
              <w:rPr>
                <w:rFonts w:ascii="Times New Roman" w:hAnsi="Times New Roman"/>
                <w:sz w:val="24"/>
                <w:szCs w:val="24"/>
              </w:rPr>
              <w:t>Министерство сельского хозяйства, пищевой и перерабатывающей промышленности Камчатского края</w:t>
            </w:r>
          </w:p>
        </w:tc>
        <w:tc>
          <w:tcPr>
            <w:tcW w:w="997" w:type="dxa"/>
            <w:tcBorders>
              <w:left w:val="nil"/>
              <w:right w:val="nil"/>
            </w:tcBorders>
            <w:shd w:val="clear" w:color="auto" w:fill="A8D08D" w:themeFill="accent6" w:themeFillTint="99"/>
            <w:vAlign w:val="center"/>
          </w:tcPr>
          <w:p w:rsidR="00583DA6" w:rsidRDefault="006A45D9">
            <w:pPr>
              <w:widowControl w:val="0"/>
              <w:jc w:val="center"/>
              <w:rPr>
                <w:rFonts w:ascii="Times New Roman" w:hAnsi="Times New Roman"/>
                <w:sz w:val="24"/>
                <w:szCs w:val="24"/>
              </w:rPr>
            </w:pPr>
            <w:r>
              <w:rPr>
                <w:rFonts w:ascii="Times New Roman" w:hAnsi="Times New Roman"/>
                <w:sz w:val="24"/>
                <w:szCs w:val="24"/>
              </w:rPr>
              <w:t>0,98</w:t>
            </w:r>
          </w:p>
        </w:tc>
      </w:tr>
      <w:tr w:rsidR="00583DA6">
        <w:tc>
          <w:tcPr>
            <w:tcW w:w="4781" w:type="dxa"/>
            <w:tcBorders>
              <w:left w:val="nil"/>
              <w:right w:val="nil"/>
            </w:tcBorders>
            <w:shd w:val="clear" w:color="auto" w:fill="A8D08D" w:themeFill="accent6" w:themeFillTint="99"/>
          </w:tcPr>
          <w:p w:rsidR="00583DA6" w:rsidRDefault="006A45D9">
            <w:pPr>
              <w:widowControl w:val="0"/>
              <w:rPr>
                <w:rFonts w:ascii="Times New Roman" w:hAnsi="Times New Roman"/>
                <w:sz w:val="24"/>
                <w:szCs w:val="24"/>
              </w:rPr>
            </w:pPr>
            <w:r>
              <w:rPr>
                <w:rFonts w:ascii="Times New Roman" w:hAnsi="Times New Roman"/>
                <w:sz w:val="24"/>
                <w:szCs w:val="24"/>
              </w:rPr>
              <w:t>Содействие занятости населения Камчатского края</w:t>
            </w:r>
          </w:p>
        </w:tc>
        <w:tc>
          <w:tcPr>
            <w:tcW w:w="3969" w:type="dxa"/>
            <w:tcBorders>
              <w:left w:val="nil"/>
              <w:right w:val="nil"/>
            </w:tcBorders>
            <w:shd w:val="clear" w:color="auto" w:fill="A8D08D" w:themeFill="accent6" w:themeFillTint="99"/>
          </w:tcPr>
          <w:p w:rsidR="00583DA6" w:rsidRDefault="006A45D9">
            <w:pPr>
              <w:widowControl w:val="0"/>
              <w:jc w:val="both"/>
              <w:rPr>
                <w:rFonts w:ascii="Times New Roman" w:hAnsi="Times New Roman"/>
                <w:sz w:val="24"/>
                <w:szCs w:val="24"/>
              </w:rPr>
            </w:pPr>
            <w:r>
              <w:rPr>
                <w:rFonts w:ascii="Times New Roman" w:hAnsi="Times New Roman"/>
                <w:sz w:val="24"/>
                <w:szCs w:val="24"/>
              </w:rPr>
              <w:t>Министерство труда и развития кадрового потенциала Камчатского края</w:t>
            </w:r>
          </w:p>
        </w:tc>
        <w:tc>
          <w:tcPr>
            <w:tcW w:w="997" w:type="dxa"/>
            <w:tcBorders>
              <w:left w:val="nil"/>
              <w:right w:val="nil"/>
            </w:tcBorders>
            <w:shd w:val="clear" w:color="auto" w:fill="A8D08D" w:themeFill="accent6" w:themeFillTint="99"/>
            <w:vAlign w:val="center"/>
          </w:tcPr>
          <w:p w:rsidR="00583DA6" w:rsidRDefault="006A45D9">
            <w:pPr>
              <w:widowControl w:val="0"/>
              <w:jc w:val="center"/>
              <w:rPr>
                <w:rFonts w:ascii="Times New Roman" w:hAnsi="Times New Roman"/>
                <w:sz w:val="24"/>
                <w:szCs w:val="24"/>
              </w:rPr>
            </w:pPr>
            <w:r>
              <w:rPr>
                <w:rFonts w:ascii="Times New Roman" w:hAnsi="Times New Roman"/>
                <w:sz w:val="24"/>
                <w:szCs w:val="24"/>
              </w:rPr>
              <w:t>0,97</w:t>
            </w:r>
          </w:p>
        </w:tc>
      </w:tr>
      <w:tr w:rsidR="00583DA6">
        <w:tc>
          <w:tcPr>
            <w:tcW w:w="4781" w:type="dxa"/>
            <w:tcBorders>
              <w:top w:val="nil"/>
              <w:left w:val="nil"/>
              <w:right w:val="nil"/>
            </w:tcBorders>
            <w:shd w:val="clear" w:color="auto" w:fill="A8D08D" w:themeFill="accent6" w:themeFillTint="99"/>
          </w:tcPr>
          <w:p w:rsidR="00583DA6" w:rsidRDefault="006A45D9">
            <w:pPr>
              <w:widowControl w:val="0"/>
              <w:rPr>
                <w:rFonts w:ascii="Times New Roman" w:hAnsi="Times New Roman"/>
                <w:sz w:val="24"/>
                <w:szCs w:val="24"/>
              </w:rPr>
            </w:pPr>
            <w:r>
              <w:rPr>
                <w:rFonts w:ascii="Times New Roman" w:hAnsi="Times New Roman"/>
                <w:sz w:val="24"/>
                <w:szCs w:val="24"/>
              </w:rPr>
              <w:t>Развитие транспортной системы в Кам</w:t>
            </w:r>
            <w:r>
              <w:rPr>
                <w:rFonts w:ascii="Times New Roman" w:hAnsi="Times New Roman"/>
                <w:sz w:val="24"/>
                <w:szCs w:val="24"/>
              </w:rPr>
              <w:t>чатском крае</w:t>
            </w:r>
          </w:p>
        </w:tc>
        <w:tc>
          <w:tcPr>
            <w:tcW w:w="3969" w:type="dxa"/>
            <w:tcBorders>
              <w:top w:val="nil"/>
              <w:left w:val="nil"/>
              <w:right w:val="nil"/>
            </w:tcBorders>
            <w:shd w:val="clear" w:color="auto" w:fill="A8D08D" w:themeFill="accent6" w:themeFillTint="99"/>
          </w:tcPr>
          <w:p w:rsidR="00583DA6" w:rsidRDefault="006A45D9">
            <w:pPr>
              <w:widowControl w:val="0"/>
              <w:jc w:val="both"/>
              <w:rPr>
                <w:rFonts w:ascii="Times New Roman" w:hAnsi="Times New Roman"/>
                <w:sz w:val="24"/>
                <w:szCs w:val="24"/>
              </w:rPr>
            </w:pPr>
            <w:r>
              <w:rPr>
                <w:rFonts w:ascii="Times New Roman" w:hAnsi="Times New Roman"/>
                <w:sz w:val="24"/>
                <w:szCs w:val="24"/>
              </w:rPr>
              <w:t>Министерство транспорта и дорожного строительства Камчатского края</w:t>
            </w:r>
          </w:p>
        </w:tc>
        <w:tc>
          <w:tcPr>
            <w:tcW w:w="997" w:type="dxa"/>
            <w:tcBorders>
              <w:top w:val="nil"/>
              <w:left w:val="nil"/>
              <w:right w:val="nil"/>
            </w:tcBorders>
            <w:shd w:val="clear" w:color="auto" w:fill="A8D08D" w:themeFill="accent6" w:themeFillTint="99"/>
            <w:vAlign w:val="center"/>
          </w:tcPr>
          <w:p w:rsidR="00583DA6" w:rsidRDefault="006A45D9">
            <w:pPr>
              <w:widowControl w:val="0"/>
              <w:jc w:val="center"/>
              <w:rPr>
                <w:rFonts w:ascii="Times New Roman" w:hAnsi="Times New Roman"/>
                <w:sz w:val="24"/>
                <w:szCs w:val="24"/>
              </w:rPr>
            </w:pPr>
            <w:r>
              <w:rPr>
                <w:rFonts w:ascii="Times New Roman" w:hAnsi="Times New Roman"/>
                <w:sz w:val="24"/>
                <w:szCs w:val="24"/>
              </w:rPr>
              <w:t>0,97</w:t>
            </w:r>
          </w:p>
        </w:tc>
      </w:tr>
      <w:tr w:rsidR="00583DA6">
        <w:tc>
          <w:tcPr>
            <w:tcW w:w="4781" w:type="dxa"/>
            <w:tcBorders>
              <w:left w:val="nil"/>
              <w:right w:val="nil"/>
            </w:tcBorders>
            <w:shd w:val="clear" w:color="auto" w:fill="A8D08D" w:themeFill="accent6" w:themeFillTint="99"/>
          </w:tcPr>
          <w:p w:rsidR="00583DA6" w:rsidRDefault="006A45D9">
            <w:pPr>
              <w:widowControl w:val="0"/>
              <w:rPr>
                <w:rFonts w:ascii="Times New Roman" w:hAnsi="Times New Roman"/>
                <w:sz w:val="24"/>
                <w:szCs w:val="24"/>
              </w:rPr>
            </w:pPr>
            <w:r>
              <w:rPr>
                <w:rFonts w:ascii="Times New Roman" w:hAnsi="Times New Roman"/>
                <w:sz w:val="24"/>
                <w:szCs w:val="24"/>
              </w:rPr>
              <w:t>Развитие культуры в Камчатском крае</w:t>
            </w:r>
          </w:p>
        </w:tc>
        <w:tc>
          <w:tcPr>
            <w:tcW w:w="3969" w:type="dxa"/>
            <w:tcBorders>
              <w:left w:val="nil"/>
              <w:right w:val="nil"/>
            </w:tcBorders>
            <w:shd w:val="clear" w:color="auto" w:fill="A8D08D" w:themeFill="accent6" w:themeFillTint="99"/>
          </w:tcPr>
          <w:p w:rsidR="00583DA6" w:rsidRDefault="006A45D9">
            <w:pPr>
              <w:widowControl w:val="0"/>
              <w:jc w:val="both"/>
              <w:rPr>
                <w:rFonts w:ascii="Times New Roman" w:hAnsi="Times New Roman"/>
                <w:sz w:val="24"/>
                <w:szCs w:val="24"/>
              </w:rPr>
            </w:pPr>
            <w:r>
              <w:rPr>
                <w:rFonts w:ascii="Times New Roman" w:hAnsi="Times New Roman"/>
                <w:sz w:val="24"/>
                <w:szCs w:val="24"/>
              </w:rPr>
              <w:t>Министерство культуры Камчатского края</w:t>
            </w:r>
          </w:p>
        </w:tc>
        <w:tc>
          <w:tcPr>
            <w:tcW w:w="997" w:type="dxa"/>
            <w:tcBorders>
              <w:left w:val="nil"/>
              <w:right w:val="nil"/>
            </w:tcBorders>
            <w:shd w:val="clear" w:color="auto" w:fill="A8D08D" w:themeFill="accent6" w:themeFillTint="99"/>
            <w:vAlign w:val="center"/>
          </w:tcPr>
          <w:p w:rsidR="00583DA6" w:rsidRDefault="006A45D9">
            <w:pPr>
              <w:widowControl w:val="0"/>
              <w:jc w:val="center"/>
              <w:rPr>
                <w:rFonts w:ascii="Times New Roman" w:hAnsi="Times New Roman"/>
                <w:sz w:val="24"/>
                <w:szCs w:val="24"/>
              </w:rPr>
            </w:pPr>
            <w:r>
              <w:rPr>
                <w:rFonts w:ascii="Times New Roman" w:hAnsi="Times New Roman"/>
                <w:sz w:val="24"/>
                <w:szCs w:val="24"/>
              </w:rPr>
              <w:t>0,97</w:t>
            </w:r>
          </w:p>
        </w:tc>
      </w:tr>
      <w:tr w:rsidR="00583DA6">
        <w:tc>
          <w:tcPr>
            <w:tcW w:w="4781" w:type="dxa"/>
            <w:tcBorders>
              <w:left w:val="nil"/>
              <w:right w:val="nil"/>
            </w:tcBorders>
            <w:shd w:val="clear" w:color="auto" w:fill="A8D08D" w:themeFill="accent6" w:themeFillTint="99"/>
          </w:tcPr>
          <w:p w:rsidR="00583DA6" w:rsidRDefault="006A45D9">
            <w:pPr>
              <w:widowControl w:val="0"/>
              <w:rPr>
                <w:rFonts w:ascii="Times New Roman" w:hAnsi="Times New Roman"/>
                <w:sz w:val="24"/>
                <w:szCs w:val="24"/>
              </w:rPr>
            </w:pPr>
            <w:r>
              <w:rPr>
                <w:rFonts w:ascii="Times New Roman" w:hAnsi="Times New Roman"/>
                <w:sz w:val="24"/>
                <w:szCs w:val="24"/>
              </w:rPr>
              <w:t>Развитие внутреннего и въездного туризма в Камчатском крае</w:t>
            </w:r>
          </w:p>
        </w:tc>
        <w:tc>
          <w:tcPr>
            <w:tcW w:w="3969" w:type="dxa"/>
            <w:tcBorders>
              <w:left w:val="nil"/>
              <w:right w:val="nil"/>
            </w:tcBorders>
            <w:shd w:val="clear" w:color="auto" w:fill="A8D08D" w:themeFill="accent6" w:themeFillTint="99"/>
          </w:tcPr>
          <w:p w:rsidR="00583DA6" w:rsidRDefault="006A45D9">
            <w:pPr>
              <w:widowControl w:val="0"/>
              <w:jc w:val="both"/>
              <w:rPr>
                <w:rFonts w:ascii="Times New Roman" w:hAnsi="Times New Roman"/>
                <w:sz w:val="24"/>
                <w:szCs w:val="24"/>
              </w:rPr>
            </w:pPr>
            <w:r>
              <w:rPr>
                <w:rFonts w:ascii="Times New Roman" w:hAnsi="Times New Roman"/>
                <w:sz w:val="24"/>
                <w:szCs w:val="24"/>
              </w:rPr>
              <w:t xml:space="preserve">Министерство туризма </w:t>
            </w:r>
            <w:r>
              <w:rPr>
                <w:rFonts w:ascii="Times New Roman" w:hAnsi="Times New Roman"/>
                <w:sz w:val="24"/>
                <w:szCs w:val="24"/>
              </w:rPr>
              <w:t>Камчатского края</w:t>
            </w:r>
          </w:p>
        </w:tc>
        <w:tc>
          <w:tcPr>
            <w:tcW w:w="997" w:type="dxa"/>
            <w:tcBorders>
              <w:left w:val="nil"/>
              <w:right w:val="nil"/>
            </w:tcBorders>
            <w:shd w:val="clear" w:color="auto" w:fill="A8D08D" w:themeFill="accent6" w:themeFillTint="99"/>
            <w:vAlign w:val="center"/>
          </w:tcPr>
          <w:p w:rsidR="00583DA6" w:rsidRDefault="006A45D9">
            <w:pPr>
              <w:widowControl w:val="0"/>
              <w:jc w:val="center"/>
              <w:rPr>
                <w:rFonts w:ascii="Times New Roman" w:hAnsi="Times New Roman"/>
                <w:sz w:val="24"/>
                <w:szCs w:val="24"/>
              </w:rPr>
            </w:pPr>
            <w:r>
              <w:rPr>
                <w:rFonts w:ascii="Times New Roman" w:hAnsi="Times New Roman"/>
                <w:sz w:val="24"/>
                <w:szCs w:val="24"/>
              </w:rPr>
              <w:t>0,96</w:t>
            </w:r>
          </w:p>
        </w:tc>
      </w:tr>
      <w:tr w:rsidR="00583DA6">
        <w:tc>
          <w:tcPr>
            <w:tcW w:w="4781" w:type="dxa"/>
            <w:tcBorders>
              <w:left w:val="nil"/>
              <w:right w:val="nil"/>
            </w:tcBorders>
            <w:shd w:val="clear" w:color="auto" w:fill="A8D08D" w:themeFill="accent6" w:themeFillTint="99"/>
          </w:tcPr>
          <w:p w:rsidR="00583DA6" w:rsidRDefault="006A45D9">
            <w:pPr>
              <w:widowControl w:val="0"/>
              <w:rPr>
                <w:rFonts w:ascii="Times New Roman" w:hAnsi="Times New Roman"/>
                <w:sz w:val="24"/>
                <w:szCs w:val="24"/>
              </w:rPr>
            </w:pPr>
            <w:r>
              <w:rPr>
                <w:rFonts w:ascii="Times New Roman" w:hAnsi="Times New Roman"/>
                <w:sz w:val="24"/>
                <w:szCs w:val="24"/>
              </w:rPr>
              <w:t>Цифровая трансформация в Камчатском крае</w:t>
            </w:r>
          </w:p>
        </w:tc>
        <w:tc>
          <w:tcPr>
            <w:tcW w:w="3969" w:type="dxa"/>
            <w:tcBorders>
              <w:left w:val="nil"/>
              <w:right w:val="nil"/>
            </w:tcBorders>
            <w:shd w:val="clear" w:color="auto" w:fill="A8D08D" w:themeFill="accent6" w:themeFillTint="99"/>
          </w:tcPr>
          <w:p w:rsidR="00583DA6" w:rsidRDefault="006A45D9">
            <w:pPr>
              <w:widowControl w:val="0"/>
              <w:jc w:val="both"/>
              <w:rPr>
                <w:rFonts w:ascii="Times New Roman" w:hAnsi="Times New Roman"/>
                <w:sz w:val="24"/>
                <w:szCs w:val="24"/>
              </w:rPr>
            </w:pPr>
            <w:r>
              <w:rPr>
                <w:rFonts w:ascii="Times New Roman" w:hAnsi="Times New Roman"/>
                <w:sz w:val="24"/>
                <w:szCs w:val="24"/>
              </w:rPr>
              <w:t>Министерство цифрового развития Камчатского края</w:t>
            </w:r>
          </w:p>
        </w:tc>
        <w:tc>
          <w:tcPr>
            <w:tcW w:w="997" w:type="dxa"/>
            <w:tcBorders>
              <w:left w:val="nil"/>
              <w:right w:val="nil"/>
            </w:tcBorders>
            <w:shd w:val="clear" w:color="auto" w:fill="A8D08D" w:themeFill="accent6" w:themeFillTint="99"/>
            <w:vAlign w:val="center"/>
          </w:tcPr>
          <w:p w:rsidR="00583DA6" w:rsidRDefault="006A45D9">
            <w:pPr>
              <w:widowControl w:val="0"/>
              <w:jc w:val="center"/>
              <w:rPr>
                <w:rFonts w:ascii="Times New Roman" w:hAnsi="Times New Roman"/>
                <w:sz w:val="24"/>
                <w:szCs w:val="24"/>
              </w:rPr>
            </w:pPr>
            <w:r>
              <w:rPr>
                <w:rFonts w:ascii="Times New Roman" w:hAnsi="Times New Roman"/>
                <w:sz w:val="24"/>
                <w:szCs w:val="24"/>
              </w:rPr>
              <w:t>0,96</w:t>
            </w:r>
          </w:p>
        </w:tc>
      </w:tr>
      <w:tr w:rsidR="00583DA6">
        <w:tc>
          <w:tcPr>
            <w:tcW w:w="4781" w:type="dxa"/>
            <w:tcBorders>
              <w:left w:val="nil"/>
              <w:right w:val="nil"/>
            </w:tcBorders>
            <w:shd w:val="clear" w:color="auto" w:fill="A8D08D" w:themeFill="accent6" w:themeFillTint="99"/>
          </w:tcPr>
          <w:p w:rsidR="00583DA6" w:rsidRDefault="006A45D9">
            <w:pPr>
              <w:widowControl w:val="0"/>
              <w:rPr>
                <w:rFonts w:ascii="Times New Roman" w:hAnsi="Times New Roman"/>
                <w:sz w:val="24"/>
                <w:szCs w:val="24"/>
              </w:rPr>
            </w:pPr>
            <w:r>
              <w:rPr>
                <w:rFonts w:ascii="Times New Roman" w:hAnsi="Times New Roman"/>
                <w:sz w:val="24"/>
                <w:szCs w:val="24"/>
              </w:rPr>
              <w:t>Развитие лесного хозяйства Камчатского края</w:t>
            </w:r>
          </w:p>
        </w:tc>
        <w:tc>
          <w:tcPr>
            <w:tcW w:w="3969" w:type="dxa"/>
            <w:tcBorders>
              <w:left w:val="nil"/>
              <w:right w:val="nil"/>
            </w:tcBorders>
            <w:shd w:val="clear" w:color="auto" w:fill="A8D08D" w:themeFill="accent6" w:themeFillTint="99"/>
          </w:tcPr>
          <w:p w:rsidR="00583DA6" w:rsidRDefault="006A45D9">
            <w:pPr>
              <w:widowControl w:val="0"/>
              <w:jc w:val="both"/>
              <w:rPr>
                <w:rFonts w:ascii="Times New Roman" w:hAnsi="Times New Roman"/>
                <w:sz w:val="24"/>
                <w:szCs w:val="24"/>
              </w:rPr>
            </w:pPr>
            <w:r>
              <w:rPr>
                <w:rFonts w:ascii="Times New Roman" w:hAnsi="Times New Roman"/>
                <w:sz w:val="24"/>
                <w:szCs w:val="24"/>
              </w:rPr>
              <w:t>Агентство лесного хозяйства Камчатского края</w:t>
            </w:r>
          </w:p>
        </w:tc>
        <w:tc>
          <w:tcPr>
            <w:tcW w:w="997" w:type="dxa"/>
            <w:tcBorders>
              <w:left w:val="nil"/>
              <w:right w:val="nil"/>
            </w:tcBorders>
            <w:shd w:val="clear" w:color="auto" w:fill="A8D08D" w:themeFill="accent6" w:themeFillTint="99"/>
            <w:vAlign w:val="center"/>
          </w:tcPr>
          <w:p w:rsidR="00583DA6" w:rsidRDefault="006A45D9">
            <w:pPr>
              <w:widowControl w:val="0"/>
              <w:jc w:val="center"/>
              <w:rPr>
                <w:rFonts w:ascii="Times New Roman" w:hAnsi="Times New Roman"/>
                <w:sz w:val="24"/>
                <w:szCs w:val="24"/>
              </w:rPr>
            </w:pPr>
            <w:r>
              <w:rPr>
                <w:rFonts w:ascii="Times New Roman" w:hAnsi="Times New Roman"/>
                <w:sz w:val="24"/>
                <w:szCs w:val="24"/>
              </w:rPr>
              <w:t>0,96</w:t>
            </w:r>
          </w:p>
        </w:tc>
      </w:tr>
      <w:tr w:rsidR="00583DA6">
        <w:tc>
          <w:tcPr>
            <w:tcW w:w="4781" w:type="dxa"/>
            <w:tcBorders>
              <w:left w:val="nil"/>
              <w:right w:val="nil"/>
            </w:tcBorders>
            <w:shd w:val="clear" w:color="auto" w:fill="A8D08D" w:themeFill="accent6" w:themeFillTint="99"/>
          </w:tcPr>
          <w:p w:rsidR="00583DA6" w:rsidRDefault="006A45D9">
            <w:pPr>
              <w:widowControl w:val="0"/>
              <w:rPr>
                <w:rFonts w:ascii="Times New Roman" w:hAnsi="Times New Roman"/>
                <w:sz w:val="24"/>
                <w:szCs w:val="24"/>
              </w:rPr>
            </w:pPr>
            <w:r>
              <w:rPr>
                <w:rFonts w:ascii="Times New Roman" w:hAnsi="Times New Roman"/>
                <w:sz w:val="24"/>
                <w:szCs w:val="24"/>
              </w:rPr>
              <w:t xml:space="preserve">Развитие физической культуры и спорта в </w:t>
            </w:r>
            <w:r>
              <w:rPr>
                <w:rFonts w:ascii="Times New Roman" w:hAnsi="Times New Roman"/>
                <w:sz w:val="24"/>
                <w:szCs w:val="24"/>
              </w:rPr>
              <w:t>Камчатском крае</w:t>
            </w:r>
          </w:p>
        </w:tc>
        <w:tc>
          <w:tcPr>
            <w:tcW w:w="3969" w:type="dxa"/>
            <w:tcBorders>
              <w:left w:val="nil"/>
              <w:right w:val="nil"/>
            </w:tcBorders>
            <w:shd w:val="clear" w:color="auto" w:fill="A8D08D" w:themeFill="accent6" w:themeFillTint="99"/>
          </w:tcPr>
          <w:p w:rsidR="00583DA6" w:rsidRDefault="006A45D9">
            <w:pPr>
              <w:widowControl w:val="0"/>
              <w:jc w:val="both"/>
              <w:rPr>
                <w:rFonts w:ascii="Times New Roman" w:hAnsi="Times New Roman"/>
                <w:sz w:val="24"/>
                <w:szCs w:val="24"/>
              </w:rPr>
            </w:pPr>
            <w:r>
              <w:rPr>
                <w:rFonts w:ascii="Times New Roman" w:hAnsi="Times New Roman"/>
                <w:sz w:val="24"/>
                <w:szCs w:val="24"/>
              </w:rPr>
              <w:t>Министерство спорта Камчатского края</w:t>
            </w:r>
          </w:p>
        </w:tc>
        <w:tc>
          <w:tcPr>
            <w:tcW w:w="997" w:type="dxa"/>
            <w:tcBorders>
              <w:left w:val="nil"/>
              <w:right w:val="nil"/>
            </w:tcBorders>
            <w:shd w:val="clear" w:color="auto" w:fill="A8D08D" w:themeFill="accent6" w:themeFillTint="99"/>
            <w:vAlign w:val="center"/>
          </w:tcPr>
          <w:p w:rsidR="00583DA6" w:rsidRDefault="006A45D9">
            <w:pPr>
              <w:widowControl w:val="0"/>
              <w:jc w:val="center"/>
              <w:rPr>
                <w:rFonts w:ascii="Times New Roman" w:hAnsi="Times New Roman"/>
                <w:sz w:val="24"/>
                <w:szCs w:val="24"/>
              </w:rPr>
            </w:pPr>
            <w:r>
              <w:rPr>
                <w:rFonts w:ascii="Times New Roman" w:hAnsi="Times New Roman"/>
                <w:sz w:val="24"/>
                <w:szCs w:val="24"/>
              </w:rPr>
              <w:t>0,96</w:t>
            </w:r>
          </w:p>
        </w:tc>
      </w:tr>
      <w:tr w:rsidR="00583DA6">
        <w:trPr>
          <w:trHeight w:val="1684"/>
        </w:trPr>
        <w:tc>
          <w:tcPr>
            <w:tcW w:w="4781" w:type="dxa"/>
            <w:tcBorders>
              <w:left w:val="nil"/>
              <w:right w:val="nil"/>
            </w:tcBorders>
            <w:shd w:val="clear" w:color="auto" w:fill="A8D08D" w:themeFill="accent6" w:themeFillTint="99"/>
          </w:tcPr>
          <w:p w:rsidR="00583DA6" w:rsidRDefault="006A45D9">
            <w:pPr>
              <w:widowControl w:val="0"/>
              <w:rPr>
                <w:rFonts w:ascii="Times New Roman" w:hAnsi="Times New Roman"/>
                <w:sz w:val="24"/>
                <w:szCs w:val="24"/>
              </w:rPr>
            </w:pPr>
            <w:r>
              <w:rPr>
                <w:rFonts w:ascii="Times New Roman" w:hAnsi="Times New Roman"/>
                <w:sz w:val="24"/>
                <w:szCs w:val="24"/>
              </w:rPr>
              <w:t>Развитие экономики и внешнеэкономической деятельности Камчатского края</w:t>
            </w:r>
          </w:p>
        </w:tc>
        <w:tc>
          <w:tcPr>
            <w:tcW w:w="3969" w:type="dxa"/>
            <w:tcBorders>
              <w:left w:val="nil"/>
              <w:right w:val="nil"/>
            </w:tcBorders>
            <w:shd w:val="clear" w:color="auto" w:fill="A8D08D" w:themeFill="accent6" w:themeFillTint="99"/>
          </w:tcPr>
          <w:p w:rsidR="00583DA6" w:rsidRDefault="006A45D9">
            <w:pPr>
              <w:widowControl w:val="0"/>
              <w:jc w:val="both"/>
              <w:rPr>
                <w:rFonts w:ascii="Times New Roman" w:hAnsi="Times New Roman"/>
                <w:sz w:val="24"/>
                <w:szCs w:val="24"/>
              </w:rPr>
            </w:pPr>
            <w:r>
              <w:rPr>
                <w:rFonts w:ascii="Times New Roman" w:hAnsi="Times New Roman"/>
                <w:sz w:val="24"/>
                <w:szCs w:val="24"/>
              </w:rPr>
              <w:t>Министерство экономического развития Камчатского края</w:t>
            </w:r>
          </w:p>
        </w:tc>
        <w:tc>
          <w:tcPr>
            <w:tcW w:w="997" w:type="dxa"/>
            <w:tcBorders>
              <w:left w:val="nil"/>
              <w:right w:val="nil"/>
            </w:tcBorders>
            <w:shd w:val="clear" w:color="auto" w:fill="A8D08D" w:themeFill="accent6" w:themeFillTint="99"/>
            <w:vAlign w:val="center"/>
          </w:tcPr>
          <w:p w:rsidR="00583DA6" w:rsidRDefault="006A45D9">
            <w:pPr>
              <w:widowControl w:val="0"/>
              <w:jc w:val="center"/>
              <w:rPr>
                <w:rFonts w:ascii="Times New Roman" w:hAnsi="Times New Roman"/>
                <w:sz w:val="24"/>
                <w:szCs w:val="24"/>
              </w:rPr>
            </w:pPr>
            <w:r>
              <w:rPr>
                <w:rFonts w:ascii="Times New Roman" w:hAnsi="Times New Roman"/>
                <w:sz w:val="24"/>
                <w:szCs w:val="24"/>
              </w:rPr>
              <w:t>0,96</w:t>
            </w:r>
          </w:p>
        </w:tc>
      </w:tr>
      <w:tr w:rsidR="00583DA6">
        <w:tc>
          <w:tcPr>
            <w:tcW w:w="4781" w:type="dxa"/>
            <w:tcBorders>
              <w:left w:val="nil"/>
              <w:right w:val="nil"/>
            </w:tcBorders>
            <w:shd w:val="clear" w:color="auto" w:fill="A8D08D" w:themeFill="accent6" w:themeFillTint="99"/>
          </w:tcPr>
          <w:p w:rsidR="00583DA6" w:rsidRDefault="006A45D9">
            <w:pPr>
              <w:widowControl w:val="0"/>
              <w:rPr>
                <w:rFonts w:ascii="Times New Roman" w:hAnsi="Times New Roman"/>
                <w:sz w:val="24"/>
                <w:szCs w:val="24"/>
              </w:rPr>
            </w:pPr>
            <w:r>
              <w:rPr>
                <w:rFonts w:ascii="Times New Roman" w:hAnsi="Times New Roman"/>
                <w:sz w:val="24"/>
                <w:szCs w:val="24"/>
              </w:rPr>
              <w:t xml:space="preserve">Совершенствование управления имуществом, находящимся в </w:t>
            </w:r>
            <w:r>
              <w:rPr>
                <w:rFonts w:ascii="Times New Roman" w:hAnsi="Times New Roman"/>
                <w:sz w:val="24"/>
                <w:szCs w:val="24"/>
              </w:rPr>
              <w:t>государственной собственности Камчатского края</w:t>
            </w:r>
          </w:p>
        </w:tc>
        <w:tc>
          <w:tcPr>
            <w:tcW w:w="3969" w:type="dxa"/>
            <w:tcBorders>
              <w:left w:val="nil"/>
              <w:right w:val="nil"/>
            </w:tcBorders>
            <w:shd w:val="clear" w:color="auto" w:fill="A8D08D" w:themeFill="accent6" w:themeFillTint="99"/>
          </w:tcPr>
          <w:p w:rsidR="00583DA6" w:rsidRDefault="006A45D9">
            <w:pPr>
              <w:widowControl w:val="0"/>
              <w:jc w:val="both"/>
              <w:rPr>
                <w:rFonts w:ascii="Times New Roman" w:hAnsi="Times New Roman"/>
                <w:sz w:val="24"/>
                <w:szCs w:val="24"/>
              </w:rPr>
            </w:pPr>
            <w:r>
              <w:rPr>
                <w:rFonts w:ascii="Times New Roman" w:hAnsi="Times New Roman"/>
                <w:sz w:val="24"/>
                <w:szCs w:val="24"/>
              </w:rPr>
              <w:t>Министерство имущественных и земельных отношений Камчатского края</w:t>
            </w:r>
          </w:p>
        </w:tc>
        <w:tc>
          <w:tcPr>
            <w:tcW w:w="997" w:type="dxa"/>
            <w:tcBorders>
              <w:left w:val="nil"/>
              <w:right w:val="nil"/>
            </w:tcBorders>
            <w:shd w:val="clear" w:color="auto" w:fill="A8D08D" w:themeFill="accent6" w:themeFillTint="99"/>
            <w:vAlign w:val="center"/>
          </w:tcPr>
          <w:p w:rsidR="00583DA6" w:rsidRDefault="006A45D9">
            <w:pPr>
              <w:widowControl w:val="0"/>
              <w:jc w:val="center"/>
              <w:rPr>
                <w:rFonts w:ascii="Times New Roman" w:hAnsi="Times New Roman"/>
                <w:sz w:val="24"/>
                <w:szCs w:val="24"/>
              </w:rPr>
            </w:pPr>
            <w:r>
              <w:rPr>
                <w:rFonts w:ascii="Times New Roman" w:hAnsi="Times New Roman"/>
                <w:sz w:val="24"/>
                <w:szCs w:val="24"/>
              </w:rPr>
              <w:t>0,95</w:t>
            </w:r>
          </w:p>
        </w:tc>
      </w:tr>
      <w:tr w:rsidR="00583DA6">
        <w:tc>
          <w:tcPr>
            <w:tcW w:w="4781" w:type="dxa"/>
            <w:tcBorders>
              <w:left w:val="nil"/>
              <w:bottom w:val="thinThickMediumGap" w:sz="24" w:space="0" w:color="000000"/>
              <w:right w:val="nil"/>
            </w:tcBorders>
            <w:shd w:val="clear" w:color="auto" w:fill="A8D08D" w:themeFill="accent6" w:themeFillTint="99"/>
            <w:vAlign w:val="center"/>
          </w:tcPr>
          <w:p w:rsidR="00583DA6" w:rsidRDefault="006A45D9">
            <w:pPr>
              <w:widowControl w:val="0"/>
              <w:rPr>
                <w:rFonts w:ascii="Times New Roman" w:hAnsi="Times New Roman"/>
                <w:sz w:val="24"/>
                <w:szCs w:val="24"/>
              </w:rPr>
            </w:pPr>
            <w:r>
              <w:rPr>
                <w:rFonts w:ascii="Times New Roman" w:hAnsi="Times New Roman"/>
                <w:sz w:val="24"/>
                <w:szCs w:val="24"/>
              </w:rPr>
              <w:t>Обращение с отходами производства и потребления в Камчатском крае</w:t>
            </w:r>
          </w:p>
        </w:tc>
        <w:tc>
          <w:tcPr>
            <w:tcW w:w="3969" w:type="dxa"/>
            <w:tcBorders>
              <w:left w:val="nil"/>
              <w:bottom w:val="thinThickMediumGap" w:sz="24" w:space="0" w:color="000000"/>
              <w:right w:val="nil"/>
            </w:tcBorders>
            <w:shd w:val="clear" w:color="auto" w:fill="A8D08D" w:themeFill="accent6" w:themeFillTint="99"/>
          </w:tcPr>
          <w:p w:rsidR="00583DA6" w:rsidRDefault="006A45D9">
            <w:pPr>
              <w:widowControl w:val="0"/>
              <w:jc w:val="both"/>
              <w:rPr>
                <w:rFonts w:ascii="Times New Roman" w:hAnsi="Times New Roman"/>
                <w:sz w:val="24"/>
                <w:szCs w:val="24"/>
              </w:rPr>
            </w:pPr>
            <w:r>
              <w:rPr>
                <w:rFonts w:ascii="Times New Roman" w:hAnsi="Times New Roman"/>
                <w:sz w:val="24"/>
                <w:szCs w:val="24"/>
              </w:rPr>
              <w:t xml:space="preserve">Министерство жилищно-коммунального хозяйства и энергетики Камчатского </w:t>
            </w:r>
            <w:r>
              <w:rPr>
                <w:rFonts w:ascii="Times New Roman" w:hAnsi="Times New Roman"/>
                <w:sz w:val="24"/>
                <w:szCs w:val="24"/>
              </w:rPr>
              <w:t>края</w:t>
            </w:r>
          </w:p>
        </w:tc>
        <w:tc>
          <w:tcPr>
            <w:tcW w:w="997" w:type="dxa"/>
            <w:tcBorders>
              <w:left w:val="nil"/>
              <w:bottom w:val="thinThickMediumGap" w:sz="24" w:space="0" w:color="000000"/>
              <w:right w:val="nil"/>
            </w:tcBorders>
            <w:shd w:val="clear" w:color="auto" w:fill="A8D08D" w:themeFill="accent6" w:themeFillTint="99"/>
            <w:vAlign w:val="center"/>
          </w:tcPr>
          <w:p w:rsidR="00583DA6" w:rsidRDefault="006A45D9">
            <w:pPr>
              <w:widowControl w:val="0"/>
              <w:jc w:val="center"/>
              <w:rPr>
                <w:rFonts w:ascii="Times New Roman" w:hAnsi="Times New Roman"/>
                <w:sz w:val="24"/>
                <w:szCs w:val="24"/>
              </w:rPr>
            </w:pPr>
            <w:r>
              <w:rPr>
                <w:rFonts w:ascii="Times New Roman" w:hAnsi="Times New Roman"/>
                <w:sz w:val="24"/>
                <w:szCs w:val="24"/>
              </w:rPr>
              <w:t>0,95</w:t>
            </w:r>
          </w:p>
        </w:tc>
      </w:tr>
      <w:tr w:rsidR="00583DA6">
        <w:tc>
          <w:tcPr>
            <w:tcW w:w="4781" w:type="dxa"/>
            <w:tcBorders>
              <w:top w:val="thinThickMediumGap" w:sz="24" w:space="0" w:color="000000"/>
              <w:left w:val="nil"/>
              <w:right w:val="nil"/>
            </w:tcBorders>
            <w:shd w:val="clear" w:color="auto" w:fill="C5E0B3" w:themeFill="accent6" w:themeFillTint="66"/>
          </w:tcPr>
          <w:p w:rsidR="00583DA6" w:rsidRDefault="006A45D9">
            <w:pPr>
              <w:widowControl w:val="0"/>
              <w:rPr>
                <w:rFonts w:ascii="Times New Roman" w:hAnsi="Times New Roman"/>
                <w:sz w:val="24"/>
                <w:szCs w:val="24"/>
              </w:rPr>
            </w:pPr>
            <w:r>
              <w:rPr>
                <w:rFonts w:ascii="Times New Roman" w:hAnsi="Times New Roman"/>
                <w:sz w:val="24"/>
                <w:szCs w:val="24"/>
              </w:rPr>
              <w:t>Социальное и экономическое развитие территории с особым статусом "Корякский округ"</w:t>
            </w:r>
          </w:p>
        </w:tc>
        <w:tc>
          <w:tcPr>
            <w:tcW w:w="3969" w:type="dxa"/>
            <w:tcBorders>
              <w:top w:val="thinThickMediumGap" w:sz="24" w:space="0" w:color="000000"/>
              <w:left w:val="nil"/>
              <w:right w:val="nil"/>
            </w:tcBorders>
            <w:shd w:val="clear" w:color="auto" w:fill="C5E0B3" w:themeFill="accent6" w:themeFillTint="66"/>
          </w:tcPr>
          <w:p w:rsidR="00583DA6" w:rsidRDefault="006A45D9">
            <w:pPr>
              <w:widowControl w:val="0"/>
              <w:jc w:val="both"/>
              <w:rPr>
                <w:rFonts w:ascii="Times New Roman" w:hAnsi="Times New Roman"/>
                <w:sz w:val="24"/>
                <w:szCs w:val="24"/>
              </w:rPr>
            </w:pPr>
            <w:r>
              <w:rPr>
                <w:rFonts w:ascii="Times New Roman" w:hAnsi="Times New Roman"/>
                <w:sz w:val="24"/>
                <w:szCs w:val="24"/>
              </w:rPr>
              <w:t>Министерство по делам местного самоуправления и развитию Корякского округа Камчатского края</w:t>
            </w:r>
          </w:p>
        </w:tc>
        <w:tc>
          <w:tcPr>
            <w:tcW w:w="997" w:type="dxa"/>
            <w:tcBorders>
              <w:top w:val="thinThickMediumGap" w:sz="24" w:space="0" w:color="000000"/>
              <w:left w:val="nil"/>
              <w:right w:val="nil"/>
            </w:tcBorders>
            <w:shd w:val="clear" w:color="auto" w:fill="C5E0B3" w:themeFill="accent6" w:themeFillTint="66"/>
            <w:vAlign w:val="center"/>
          </w:tcPr>
          <w:p w:rsidR="00583DA6" w:rsidRDefault="006A45D9">
            <w:pPr>
              <w:widowControl w:val="0"/>
              <w:jc w:val="center"/>
              <w:rPr>
                <w:rFonts w:ascii="Times New Roman" w:hAnsi="Times New Roman"/>
                <w:sz w:val="24"/>
                <w:szCs w:val="24"/>
              </w:rPr>
            </w:pPr>
            <w:r>
              <w:rPr>
                <w:rFonts w:ascii="Times New Roman" w:hAnsi="Times New Roman"/>
                <w:sz w:val="24"/>
                <w:szCs w:val="24"/>
              </w:rPr>
              <w:t>0,94</w:t>
            </w:r>
          </w:p>
        </w:tc>
      </w:tr>
      <w:tr w:rsidR="00583DA6">
        <w:trPr>
          <w:trHeight w:val="1170"/>
        </w:trPr>
        <w:tc>
          <w:tcPr>
            <w:tcW w:w="4781" w:type="dxa"/>
            <w:tcBorders>
              <w:left w:val="nil"/>
              <w:right w:val="nil"/>
            </w:tcBorders>
            <w:shd w:val="clear" w:color="auto" w:fill="C5E0B3" w:themeFill="accent6" w:themeFillTint="66"/>
          </w:tcPr>
          <w:p w:rsidR="00583DA6" w:rsidRDefault="006A45D9">
            <w:pPr>
              <w:widowControl w:val="0"/>
              <w:rPr>
                <w:rFonts w:ascii="Times New Roman" w:hAnsi="Times New Roman"/>
                <w:sz w:val="24"/>
                <w:szCs w:val="24"/>
              </w:rPr>
            </w:pPr>
            <w:r>
              <w:rPr>
                <w:rFonts w:ascii="Times New Roman" w:hAnsi="Times New Roman"/>
                <w:sz w:val="24"/>
                <w:szCs w:val="24"/>
              </w:rPr>
              <w:t>Комплексное развитие сельских территорий Камчатского края</w:t>
            </w:r>
          </w:p>
        </w:tc>
        <w:tc>
          <w:tcPr>
            <w:tcW w:w="3969" w:type="dxa"/>
            <w:tcBorders>
              <w:left w:val="nil"/>
              <w:right w:val="nil"/>
            </w:tcBorders>
            <w:shd w:val="clear" w:color="auto" w:fill="C5E0B3" w:themeFill="accent6" w:themeFillTint="66"/>
          </w:tcPr>
          <w:p w:rsidR="00583DA6" w:rsidRDefault="006A45D9">
            <w:pPr>
              <w:widowControl w:val="0"/>
              <w:jc w:val="both"/>
              <w:rPr>
                <w:rFonts w:ascii="Times New Roman" w:hAnsi="Times New Roman"/>
                <w:sz w:val="24"/>
                <w:szCs w:val="24"/>
              </w:rPr>
            </w:pPr>
            <w:r>
              <w:rPr>
                <w:rFonts w:ascii="Times New Roman" w:hAnsi="Times New Roman"/>
                <w:sz w:val="24"/>
                <w:szCs w:val="24"/>
              </w:rPr>
              <w:t>Министерство сельского хозяйства, пищевой и перерабатывающей промышленности Камчатского края</w:t>
            </w:r>
          </w:p>
        </w:tc>
        <w:tc>
          <w:tcPr>
            <w:tcW w:w="997" w:type="dxa"/>
            <w:tcBorders>
              <w:left w:val="nil"/>
              <w:right w:val="nil"/>
            </w:tcBorders>
            <w:shd w:val="clear" w:color="auto" w:fill="C5E0B3" w:themeFill="accent6" w:themeFillTint="66"/>
            <w:vAlign w:val="center"/>
          </w:tcPr>
          <w:p w:rsidR="00583DA6" w:rsidRDefault="006A45D9">
            <w:pPr>
              <w:widowControl w:val="0"/>
              <w:jc w:val="center"/>
              <w:rPr>
                <w:rFonts w:ascii="Times New Roman" w:hAnsi="Times New Roman"/>
                <w:sz w:val="24"/>
                <w:szCs w:val="24"/>
              </w:rPr>
            </w:pPr>
            <w:r>
              <w:rPr>
                <w:rFonts w:ascii="Times New Roman" w:hAnsi="Times New Roman"/>
                <w:sz w:val="24"/>
                <w:szCs w:val="24"/>
              </w:rPr>
              <w:t>0,94</w:t>
            </w:r>
          </w:p>
        </w:tc>
      </w:tr>
      <w:tr w:rsidR="00583DA6">
        <w:trPr>
          <w:trHeight w:val="1271"/>
        </w:trPr>
        <w:tc>
          <w:tcPr>
            <w:tcW w:w="4781" w:type="dxa"/>
            <w:tcBorders>
              <w:left w:val="nil"/>
              <w:right w:val="nil"/>
            </w:tcBorders>
            <w:shd w:val="clear" w:color="auto" w:fill="C5E0B3" w:themeFill="accent6" w:themeFillTint="66"/>
          </w:tcPr>
          <w:p w:rsidR="00583DA6" w:rsidRDefault="006A45D9">
            <w:pPr>
              <w:widowControl w:val="0"/>
              <w:rPr>
                <w:rFonts w:ascii="Times New Roman" w:hAnsi="Times New Roman"/>
                <w:sz w:val="24"/>
                <w:szCs w:val="24"/>
              </w:rPr>
            </w:pPr>
            <w:r>
              <w:rPr>
                <w:rFonts w:ascii="Times New Roman" w:hAnsi="Times New Roman"/>
                <w:sz w:val="24"/>
                <w:szCs w:val="24"/>
              </w:rPr>
              <w:t>Охрана окружающей среды, воспроизводство и использование природных ресурсов в Камчатском крае</w:t>
            </w:r>
          </w:p>
        </w:tc>
        <w:tc>
          <w:tcPr>
            <w:tcW w:w="3969" w:type="dxa"/>
            <w:tcBorders>
              <w:left w:val="nil"/>
              <w:right w:val="nil"/>
            </w:tcBorders>
            <w:shd w:val="clear" w:color="auto" w:fill="C5E0B3" w:themeFill="accent6" w:themeFillTint="66"/>
          </w:tcPr>
          <w:p w:rsidR="00583DA6" w:rsidRDefault="006A45D9">
            <w:pPr>
              <w:widowControl w:val="0"/>
              <w:jc w:val="both"/>
              <w:rPr>
                <w:rFonts w:ascii="Times New Roman" w:hAnsi="Times New Roman"/>
                <w:sz w:val="24"/>
                <w:szCs w:val="24"/>
              </w:rPr>
            </w:pPr>
            <w:r>
              <w:rPr>
                <w:rFonts w:ascii="Times New Roman" w:hAnsi="Times New Roman"/>
                <w:sz w:val="24"/>
                <w:szCs w:val="24"/>
              </w:rPr>
              <w:t>Министерство природных ресурсов и экологии Камчатского края</w:t>
            </w:r>
          </w:p>
        </w:tc>
        <w:tc>
          <w:tcPr>
            <w:tcW w:w="997" w:type="dxa"/>
            <w:tcBorders>
              <w:left w:val="nil"/>
              <w:right w:val="nil"/>
            </w:tcBorders>
            <w:shd w:val="clear" w:color="auto" w:fill="C5E0B3" w:themeFill="accent6" w:themeFillTint="66"/>
            <w:vAlign w:val="center"/>
          </w:tcPr>
          <w:p w:rsidR="00583DA6" w:rsidRDefault="006A45D9">
            <w:pPr>
              <w:widowControl w:val="0"/>
              <w:jc w:val="center"/>
              <w:rPr>
                <w:rFonts w:ascii="Times New Roman" w:hAnsi="Times New Roman"/>
                <w:sz w:val="24"/>
                <w:szCs w:val="24"/>
              </w:rPr>
            </w:pPr>
            <w:r>
              <w:rPr>
                <w:rFonts w:ascii="Times New Roman" w:hAnsi="Times New Roman"/>
                <w:sz w:val="24"/>
                <w:szCs w:val="24"/>
              </w:rPr>
              <w:t>0,93</w:t>
            </w:r>
          </w:p>
        </w:tc>
      </w:tr>
      <w:tr w:rsidR="00583DA6">
        <w:tc>
          <w:tcPr>
            <w:tcW w:w="4781" w:type="dxa"/>
            <w:tcBorders>
              <w:left w:val="nil"/>
              <w:right w:val="nil"/>
            </w:tcBorders>
            <w:shd w:val="clear" w:color="auto" w:fill="C5E0B3" w:themeFill="accent6" w:themeFillTint="66"/>
          </w:tcPr>
          <w:p w:rsidR="00583DA6" w:rsidRDefault="006A45D9">
            <w:pPr>
              <w:widowControl w:val="0"/>
              <w:rPr>
                <w:rFonts w:ascii="Times New Roman" w:hAnsi="Times New Roman"/>
                <w:sz w:val="24"/>
                <w:szCs w:val="24"/>
              </w:rPr>
            </w:pPr>
            <w:r>
              <w:rPr>
                <w:rFonts w:ascii="Times New Roman" w:hAnsi="Times New Roman"/>
                <w:sz w:val="24"/>
                <w:szCs w:val="24"/>
              </w:rPr>
              <w:t>Безопасная Камчатка</w:t>
            </w:r>
          </w:p>
        </w:tc>
        <w:tc>
          <w:tcPr>
            <w:tcW w:w="3969" w:type="dxa"/>
            <w:tcBorders>
              <w:left w:val="nil"/>
              <w:right w:val="nil"/>
            </w:tcBorders>
            <w:shd w:val="clear" w:color="auto" w:fill="C5E0B3" w:themeFill="accent6" w:themeFillTint="66"/>
          </w:tcPr>
          <w:p w:rsidR="00583DA6" w:rsidRDefault="006A45D9">
            <w:pPr>
              <w:widowControl w:val="0"/>
              <w:jc w:val="both"/>
              <w:rPr>
                <w:rFonts w:ascii="Times New Roman" w:hAnsi="Times New Roman"/>
                <w:sz w:val="24"/>
                <w:szCs w:val="24"/>
              </w:rPr>
            </w:pPr>
            <w:r>
              <w:rPr>
                <w:rFonts w:ascii="Times New Roman" w:hAnsi="Times New Roman"/>
                <w:sz w:val="24"/>
                <w:szCs w:val="24"/>
              </w:rPr>
              <w:t>Министерство по чрезвычайным ситуациям Камчатского края</w:t>
            </w:r>
          </w:p>
        </w:tc>
        <w:tc>
          <w:tcPr>
            <w:tcW w:w="997" w:type="dxa"/>
            <w:tcBorders>
              <w:left w:val="nil"/>
              <w:right w:val="nil"/>
            </w:tcBorders>
            <w:shd w:val="clear" w:color="auto" w:fill="C5E0B3" w:themeFill="accent6" w:themeFillTint="66"/>
            <w:vAlign w:val="center"/>
          </w:tcPr>
          <w:p w:rsidR="00583DA6" w:rsidRDefault="006A45D9">
            <w:pPr>
              <w:widowControl w:val="0"/>
              <w:jc w:val="center"/>
              <w:rPr>
                <w:rFonts w:ascii="Times New Roman" w:hAnsi="Times New Roman"/>
                <w:sz w:val="24"/>
                <w:szCs w:val="24"/>
              </w:rPr>
            </w:pPr>
            <w:r>
              <w:rPr>
                <w:rFonts w:ascii="Times New Roman" w:hAnsi="Times New Roman"/>
                <w:sz w:val="24"/>
                <w:szCs w:val="24"/>
              </w:rPr>
              <w:t>0,93</w:t>
            </w:r>
          </w:p>
        </w:tc>
      </w:tr>
      <w:tr w:rsidR="00583DA6">
        <w:tc>
          <w:tcPr>
            <w:tcW w:w="4781" w:type="dxa"/>
            <w:tcBorders>
              <w:left w:val="nil"/>
              <w:right w:val="nil"/>
            </w:tcBorders>
            <w:shd w:val="clear" w:color="auto" w:fill="C5E0B3" w:themeFill="accent6" w:themeFillTint="66"/>
          </w:tcPr>
          <w:p w:rsidR="00583DA6" w:rsidRDefault="006A45D9">
            <w:pPr>
              <w:widowControl w:val="0"/>
              <w:rPr>
                <w:rFonts w:ascii="Times New Roman" w:hAnsi="Times New Roman"/>
                <w:sz w:val="24"/>
                <w:szCs w:val="24"/>
              </w:rPr>
            </w:pPr>
            <w:r>
              <w:rPr>
                <w:rFonts w:ascii="Times New Roman" w:hAnsi="Times New Roman"/>
                <w:sz w:val="24"/>
                <w:szCs w:val="24"/>
              </w:rPr>
              <w:t>Энергоэффективность, развитие энергетики и коммунального хозяйства, обеспечение жителей населенных пунктов Камчатского края коммунальными услугами</w:t>
            </w:r>
          </w:p>
        </w:tc>
        <w:tc>
          <w:tcPr>
            <w:tcW w:w="3969" w:type="dxa"/>
            <w:tcBorders>
              <w:left w:val="nil"/>
              <w:right w:val="nil"/>
            </w:tcBorders>
            <w:shd w:val="clear" w:color="auto" w:fill="C5E0B3" w:themeFill="accent6" w:themeFillTint="66"/>
          </w:tcPr>
          <w:p w:rsidR="00583DA6" w:rsidRDefault="006A45D9">
            <w:pPr>
              <w:widowControl w:val="0"/>
              <w:rPr>
                <w:rFonts w:ascii="Times New Roman" w:hAnsi="Times New Roman"/>
                <w:sz w:val="24"/>
                <w:szCs w:val="24"/>
              </w:rPr>
            </w:pPr>
            <w:r>
              <w:rPr>
                <w:rFonts w:ascii="Times New Roman" w:hAnsi="Times New Roman"/>
                <w:sz w:val="24"/>
                <w:szCs w:val="24"/>
              </w:rPr>
              <w:t xml:space="preserve">Министерство </w:t>
            </w:r>
            <w:r>
              <w:rPr>
                <w:rFonts w:ascii="Times New Roman" w:hAnsi="Times New Roman"/>
                <w:sz w:val="24"/>
                <w:szCs w:val="24"/>
              </w:rPr>
              <w:t>жилищно-коммунального хозяйства и энергетики Камчатского края</w:t>
            </w:r>
          </w:p>
        </w:tc>
        <w:tc>
          <w:tcPr>
            <w:tcW w:w="997" w:type="dxa"/>
            <w:tcBorders>
              <w:left w:val="nil"/>
              <w:right w:val="nil"/>
            </w:tcBorders>
            <w:shd w:val="clear" w:color="auto" w:fill="C5E0B3" w:themeFill="accent6" w:themeFillTint="66"/>
            <w:vAlign w:val="center"/>
          </w:tcPr>
          <w:p w:rsidR="00583DA6" w:rsidRDefault="006A45D9">
            <w:pPr>
              <w:widowControl w:val="0"/>
              <w:jc w:val="center"/>
              <w:rPr>
                <w:rFonts w:ascii="Times New Roman" w:hAnsi="Times New Roman"/>
                <w:sz w:val="24"/>
                <w:szCs w:val="24"/>
              </w:rPr>
            </w:pPr>
            <w:r>
              <w:rPr>
                <w:rFonts w:ascii="Times New Roman" w:hAnsi="Times New Roman"/>
                <w:sz w:val="24"/>
                <w:szCs w:val="24"/>
              </w:rPr>
              <w:t>0,92</w:t>
            </w:r>
          </w:p>
        </w:tc>
      </w:tr>
      <w:tr w:rsidR="00583DA6">
        <w:tc>
          <w:tcPr>
            <w:tcW w:w="4781" w:type="dxa"/>
            <w:tcBorders>
              <w:left w:val="nil"/>
              <w:right w:val="nil"/>
            </w:tcBorders>
            <w:shd w:val="clear" w:color="auto" w:fill="C5E0B3" w:themeFill="accent6" w:themeFillTint="66"/>
          </w:tcPr>
          <w:p w:rsidR="00583DA6" w:rsidRDefault="006A45D9">
            <w:pPr>
              <w:widowControl w:val="0"/>
              <w:rPr>
                <w:rFonts w:ascii="Times New Roman" w:hAnsi="Times New Roman"/>
                <w:sz w:val="24"/>
                <w:szCs w:val="24"/>
              </w:rPr>
            </w:pPr>
            <w:r>
              <w:rPr>
                <w:rFonts w:ascii="Times New Roman" w:hAnsi="Times New Roman"/>
                <w:sz w:val="24"/>
                <w:szCs w:val="24"/>
              </w:rPr>
              <w:t>Развитие здравоохранения Камчатского края</w:t>
            </w:r>
          </w:p>
        </w:tc>
        <w:tc>
          <w:tcPr>
            <w:tcW w:w="3969" w:type="dxa"/>
            <w:tcBorders>
              <w:left w:val="nil"/>
              <w:right w:val="nil"/>
            </w:tcBorders>
            <w:shd w:val="clear" w:color="auto" w:fill="C5E0B3" w:themeFill="accent6" w:themeFillTint="66"/>
          </w:tcPr>
          <w:p w:rsidR="00583DA6" w:rsidRDefault="006A45D9">
            <w:pPr>
              <w:widowControl w:val="0"/>
              <w:jc w:val="both"/>
              <w:rPr>
                <w:rFonts w:ascii="Times New Roman" w:hAnsi="Times New Roman"/>
                <w:sz w:val="24"/>
                <w:szCs w:val="24"/>
              </w:rPr>
            </w:pPr>
            <w:r>
              <w:rPr>
                <w:rFonts w:ascii="Times New Roman" w:hAnsi="Times New Roman"/>
                <w:sz w:val="24"/>
                <w:szCs w:val="24"/>
              </w:rPr>
              <w:t>Министерство здравоохранения Камчатского края</w:t>
            </w:r>
          </w:p>
        </w:tc>
        <w:tc>
          <w:tcPr>
            <w:tcW w:w="997" w:type="dxa"/>
            <w:tcBorders>
              <w:left w:val="nil"/>
              <w:right w:val="nil"/>
            </w:tcBorders>
            <w:shd w:val="clear" w:color="auto" w:fill="C5E0B3" w:themeFill="accent6" w:themeFillTint="66"/>
            <w:vAlign w:val="center"/>
          </w:tcPr>
          <w:p w:rsidR="00583DA6" w:rsidRDefault="006A45D9">
            <w:pPr>
              <w:widowControl w:val="0"/>
              <w:jc w:val="center"/>
              <w:rPr>
                <w:rFonts w:ascii="Times New Roman" w:hAnsi="Times New Roman"/>
                <w:sz w:val="24"/>
                <w:szCs w:val="24"/>
              </w:rPr>
            </w:pPr>
            <w:r>
              <w:rPr>
                <w:rFonts w:ascii="Times New Roman" w:hAnsi="Times New Roman"/>
                <w:sz w:val="24"/>
                <w:szCs w:val="24"/>
              </w:rPr>
              <w:t>0,92</w:t>
            </w:r>
          </w:p>
        </w:tc>
      </w:tr>
      <w:tr w:rsidR="00583DA6">
        <w:tc>
          <w:tcPr>
            <w:tcW w:w="4781" w:type="dxa"/>
            <w:tcBorders>
              <w:left w:val="nil"/>
              <w:bottom w:val="thinThickMediumGap" w:sz="24" w:space="0" w:color="000000"/>
              <w:right w:val="nil"/>
            </w:tcBorders>
            <w:shd w:val="clear" w:color="auto" w:fill="C5E0B3" w:themeFill="accent6" w:themeFillTint="66"/>
          </w:tcPr>
          <w:p w:rsidR="00583DA6" w:rsidRDefault="006A45D9">
            <w:pPr>
              <w:widowControl w:val="0"/>
              <w:rPr>
                <w:rFonts w:ascii="Times New Roman" w:hAnsi="Times New Roman"/>
                <w:sz w:val="24"/>
                <w:szCs w:val="24"/>
              </w:rPr>
            </w:pPr>
            <w:r>
              <w:rPr>
                <w:rFonts w:ascii="Times New Roman" w:hAnsi="Times New Roman"/>
                <w:sz w:val="24"/>
                <w:szCs w:val="24"/>
              </w:rPr>
              <w:t>Социальная поддержка граждан в Камчатском крае</w:t>
            </w:r>
          </w:p>
        </w:tc>
        <w:tc>
          <w:tcPr>
            <w:tcW w:w="3969" w:type="dxa"/>
            <w:tcBorders>
              <w:left w:val="nil"/>
              <w:bottom w:val="thinThickMediumGap" w:sz="24" w:space="0" w:color="000000"/>
              <w:right w:val="nil"/>
            </w:tcBorders>
            <w:shd w:val="clear" w:color="auto" w:fill="C5E0B3" w:themeFill="accent6" w:themeFillTint="66"/>
          </w:tcPr>
          <w:p w:rsidR="00583DA6" w:rsidRDefault="006A45D9">
            <w:pPr>
              <w:widowControl w:val="0"/>
              <w:jc w:val="both"/>
              <w:rPr>
                <w:rFonts w:ascii="Times New Roman" w:hAnsi="Times New Roman"/>
                <w:sz w:val="24"/>
                <w:szCs w:val="24"/>
              </w:rPr>
            </w:pPr>
            <w:r>
              <w:rPr>
                <w:rFonts w:ascii="Times New Roman" w:hAnsi="Times New Roman"/>
                <w:sz w:val="24"/>
                <w:szCs w:val="24"/>
              </w:rPr>
              <w:t>Министерство социального благополучия и семейно</w:t>
            </w:r>
            <w:r>
              <w:rPr>
                <w:rFonts w:ascii="Times New Roman" w:hAnsi="Times New Roman"/>
                <w:sz w:val="24"/>
                <w:szCs w:val="24"/>
              </w:rPr>
              <w:t>й политики Камчатского края</w:t>
            </w:r>
          </w:p>
        </w:tc>
        <w:tc>
          <w:tcPr>
            <w:tcW w:w="997" w:type="dxa"/>
            <w:tcBorders>
              <w:left w:val="nil"/>
              <w:bottom w:val="thinThickMediumGap" w:sz="24" w:space="0" w:color="000000"/>
              <w:right w:val="nil"/>
            </w:tcBorders>
            <w:shd w:val="clear" w:color="auto" w:fill="C5E0B3" w:themeFill="accent6" w:themeFillTint="66"/>
            <w:vAlign w:val="center"/>
          </w:tcPr>
          <w:p w:rsidR="00583DA6" w:rsidRDefault="006A45D9">
            <w:pPr>
              <w:widowControl w:val="0"/>
              <w:jc w:val="center"/>
              <w:rPr>
                <w:rFonts w:ascii="Times New Roman" w:hAnsi="Times New Roman"/>
                <w:sz w:val="24"/>
                <w:szCs w:val="24"/>
              </w:rPr>
            </w:pPr>
            <w:r>
              <w:rPr>
                <w:rFonts w:ascii="Times New Roman" w:hAnsi="Times New Roman"/>
                <w:sz w:val="24"/>
                <w:szCs w:val="24"/>
              </w:rPr>
              <w:t>0,90</w:t>
            </w:r>
          </w:p>
        </w:tc>
      </w:tr>
      <w:tr w:rsidR="00583DA6">
        <w:tc>
          <w:tcPr>
            <w:tcW w:w="4781" w:type="dxa"/>
            <w:tcBorders>
              <w:top w:val="thinThickMediumGap" w:sz="24" w:space="0" w:color="000000"/>
              <w:left w:val="nil"/>
              <w:right w:val="nil"/>
            </w:tcBorders>
            <w:shd w:val="clear" w:color="auto" w:fill="FFE599" w:themeFill="accent4" w:themeFillTint="66"/>
          </w:tcPr>
          <w:p w:rsidR="00583DA6" w:rsidRDefault="006A45D9">
            <w:pPr>
              <w:widowControl w:val="0"/>
              <w:rPr>
                <w:rFonts w:ascii="Times New Roman" w:hAnsi="Times New Roman"/>
                <w:sz w:val="24"/>
                <w:szCs w:val="24"/>
              </w:rPr>
            </w:pPr>
            <w:r>
              <w:rPr>
                <w:rFonts w:ascii="Times New Roman" w:hAnsi="Times New Roman"/>
                <w:sz w:val="24"/>
                <w:szCs w:val="24"/>
              </w:rPr>
              <w:t>Обеспечение доступным и комфортным жильем жителей Камчатского края</w:t>
            </w:r>
          </w:p>
        </w:tc>
        <w:tc>
          <w:tcPr>
            <w:tcW w:w="3969" w:type="dxa"/>
            <w:tcBorders>
              <w:top w:val="thinThickMediumGap" w:sz="24" w:space="0" w:color="000000"/>
              <w:left w:val="nil"/>
              <w:right w:val="nil"/>
            </w:tcBorders>
            <w:shd w:val="clear" w:color="auto" w:fill="FFE599" w:themeFill="accent4" w:themeFillTint="66"/>
          </w:tcPr>
          <w:p w:rsidR="00583DA6" w:rsidRDefault="006A45D9">
            <w:pPr>
              <w:widowControl w:val="0"/>
              <w:rPr>
                <w:rFonts w:ascii="Times New Roman" w:hAnsi="Times New Roman"/>
                <w:sz w:val="24"/>
                <w:szCs w:val="24"/>
              </w:rPr>
            </w:pPr>
            <w:r>
              <w:rPr>
                <w:rFonts w:ascii="Times New Roman" w:hAnsi="Times New Roman"/>
                <w:sz w:val="24"/>
                <w:szCs w:val="24"/>
              </w:rPr>
              <w:t>Министерство строительства и жилищной политики Камчатского края</w:t>
            </w:r>
          </w:p>
        </w:tc>
        <w:tc>
          <w:tcPr>
            <w:tcW w:w="997" w:type="dxa"/>
            <w:tcBorders>
              <w:top w:val="thinThickMediumGap" w:sz="24" w:space="0" w:color="000000"/>
              <w:left w:val="nil"/>
              <w:right w:val="nil"/>
            </w:tcBorders>
            <w:shd w:val="clear" w:color="auto" w:fill="FFE599" w:themeFill="accent4" w:themeFillTint="66"/>
            <w:vAlign w:val="center"/>
          </w:tcPr>
          <w:p w:rsidR="00583DA6" w:rsidRDefault="006A45D9">
            <w:pPr>
              <w:widowControl w:val="0"/>
              <w:jc w:val="center"/>
              <w:rPr>
                <w:rFonts w:ascii="Times New Roman" w:hAnsi="Times New Roman"/>
                <w:sz w:val="24"/>
                <w:szCs w:val="24"/>
              </w:rPr>
            </w:pPr>
            <w:r>
              <w:rPr>
                <w:rFonts w:ascii="Times New Roman" w:hAnsi="Times New Roman"/>
                <w:sz w:val="24"/>
                <w:szCs w:val="24"/>
              </w:rPr>
              <w:t>0,89</w:t>
            </w:r>
          </w:p>
        </w:tc>
      </w:tr>
    </w:tbl>
    <w:p w:rsidR="00583DA6" w:rsidRDefault="00583DA6">
      <w:pPr>
        <w:ind w:firstLine="709"/>
        <w:jc w:val="both"/>
        <w:rPr>
          <w:rFonts w:ascii="Times New Roman" w:hAnsi="Times New Roman"/>
          <w:sz w:val="26"/>
          <w:szCs w:val="26"/>
        </w:rPr>
      </w:pPr>
    </w:p>
    <w:p w:rsidR="00583DA6" w:rsidRDefault="006A45D9">
      <w:pPr>
        <w:ind w:hanging="709"/>
        <w:jc w:val="center"/>
        <w:rPr>
          <w:rFonts w:ascii="Times New Roman" w:hAnsi="Times New Roman"/>
          <w:sz w:val="26"/>
          <w:szCs w:val="26"/>
        </w:rPr>
      </w:pPr>
      <w:r>
        <w:rPr>
          <w:rFonts w:ascii="Times New Roman" w:hAnsi="Times New Roman"/>
          <w:sz w:val="26"/>
          <w:szCs w:val="26"/>
        </w:rPr>
        <w:t>* - Эффективность (коэффициент)</w:t>
      </w:r>
    </w:p>
    <w:tbl>
      <w:tblPr>
        <w:tblStyle w:val="afff5"/>
        <w:tblW w:w="2500" w:type="pct"/>
        <w:jc w:val="center"/>
        <w:tblLayout w:type="fixed"/>
        <w:tblLook w:val="04A0" w:firstRow="1" w:lastRow="0" w:firstColumn="1" w:lastColumn="0" w:noHBand="0" w:noVBand="1"/>
      </w:tblPr>
      <w:tblGrid>
        <w:gridCol w:w="1396"/>
        <w:gridCol w:w="1391"/>
        <w:gridCol w:w="2027"/>
      </w:tblGrid>
      <w:tr w:rsidR="00583DA6">
        <w:trPr>
          <w:jc w:val="center"/>
        </w:trPr>
        <w:tc>
          <w:tcPr>
            <w:tcW w:w="1398" w:type="dxa"/>
            <w:shd w:val="clear" w:color="auto" w:fill="A8D08D" w:themeFill="accent6" w:themeFillTint="99"/>
            <w:vAlign w:val="center"/>
          </w:tcPr>
          <w:p w:rsidR="00583DA6" w:rsidRDefault="006A45D9">
            <w:pPr>
              <w:widowControl w:val="0"/>
              <w:jc w:val="center"/>
              <w:rPr>
                <w:rFonts w:ascii="Times New Roman" w:hAnsi="Times New Roman"/>
                <w:sz w:val="18"/>
                <w:szCs w:val="18"/>
              </w:rPr>
            </w:pPr>
            <w:r>
              <w:rPr>
                <w:rFonts w:ascii="Times New Roman" w:hAnsi="Times New Roman"/>
                <w:sz w:val="18"/>
                <w:szCs w:val="18"/>
              </w:rPr>
              <w:t>высокая</w:t>
            </w:r>
          </w:p>
        </w:tc>
        <w:tc>
          <w:tcPr>
            <w:tcW w:w="1392" w:type="dxa"/>
            <w:shd w:val="clear" w:color="auto" w:fill="C5E0B3" w:themeFill="accent6" w:themeFillTint="66"/>
            <w:vAlign w:val="center"/>
          </w:tcPr>
          <w:p w:rsidR="00583DA6" w:rsidRDefault="006A45D9">
            <w:pPr>
              <w:widowControl w:val="0"/>
              <w:jc w:val="center"/>
              <w:rPr>
                <w:rFonts w:ascii="Times New Roman" w:hAnsi="Times New Roman"/>
                <w:sz w:val="18"/>
                <w:szCs w:val="18"/>
              </w:rPr>
            </w:pPr>
            <w:r>
              <w:rPr>
                <w:rFonts w:ascii="Times New Roman" w:hAnsi="Times New Roman"/>
                <w:sz w:val="18"/>
                <w:szCs w:val="18"/>
              </w:rPr>
              <w:t>средняя</w:t>
            </w:r>
          </w:p>
        </w:tc>
        <w:tc>
          <w:tcPr>
            <w:tcW w:w="2029" w:type="dxa"/>
            <w:shd w:val="clear" w:color="auto" w:fill="FFE599" w:themeFill="accent4" w:themeFillTint="66"/>
            <w:vAlign w:val="center"/>
          </w:tcPr>
          <w:p w:rsidR="00583DA6" w:rsidRDefault="006A45D9">
            <w:pPr>
              <w:widowControl w:val="0"/>
              <w:jc w:val="center"/>
              <w:rPr>
                <w:rFonts w:ascii="Times New Roman" w:hAnsi="Times New Roman"/>
                <w:sz w:val="18"/>
                <w:szCs w:val="18"/>
              </w:rPr>
            </w:pPr>
            <w:r>
              <w:rPr>
                <w:rFonts w:ascii="Times New Roman" w:hAnsi="Times New Roman"/>
                <w:sz w:val="18"/>
                <w:szCs w:val="18"/>
              </w:rPr>
              <w:t>удовлетворительная</w:t>
            </w:r>
          </w:p>
        </w:tc>
      </w:tr>
    </w:tbl>
    <w:p w:rsidR="00583DA6" w:rsidRDefault="00583DA6">
      <w:pPr>
        <w:ind w:firstLine="709"/>
        <w:jc w:val="both"/>
        <w:rPr>
          <w:rFonts w:ascii="Times New Roman" w:hAnsi="Times New Roman"/>
          <w:sz w:val="28"/>
          <w:szCs w:val="28"/>
        </w:rPr>
      </w:pPr>
    </w:p>
    <w:p w:rsidR="00583DA6" w:rsidRDefault="006A45D9">
      <w:pPr>
        <w:ind w:firstLine="709"/>
        <w:jc w:val="both"/>
        <w:rPr>
          <w:rFonts w:ascii="Times New Roman" w:hAnsi="Times New Roman"/>
          <w:sz w:val="28"/>
          <w:szCs w:val="28"/>
        </w:rPr>
      </w:pPr>
      <w:r>
        <w:rPr>
          <w:rFonts w:ascii="Times New Roman" w:hAnsi="Times New Roman"/>
          <w:sz w:val="28"/>
          <w:szCs w:val="28"/>
        </w:rPr>
        <w:t xml:space="preserve">Отдельно, в </w:t>
      </w:r>
      <w:r>
        <w:rPr>
          <w:rFonts w:ascii="Times New Roman" w:hAnsi="Times New Roman"/>
          <w:sz w:val="28"/>
          <w:szCs w:val="28"/>
        </w:rPr>
        <w:t>рамках оценки достижения национальных целей развития Российской Федерации (далее – национальные цели) результаты реализации государственных программ Камчатского края за 2022 год оценивались с точки зрения влияния на достижение национальных целей.</w:t>
      </w:r>
    </w:p>
    <w:p w:rsidR="00583DA6" w:rsidRDefault="006A45D9">
      <w:pPr>
        <w:ind w:firstLine="709"/>
        <w:jc w:val="both"/>
        <w:rPr>
          <w:rFonts w:ascii="Times New Roman" w:hAnsi="Times New Roman"/>
          <w:sz w:val="28"/>
          <w:szCs w:val="28"/>
        </w:rPr>
      </w:pPr>
      <w:r>
        <w:rPr>
          <w:rFonts w:ascii="Times New Roman" w:hAnsi="Times New Roman"/>
          <w:sz w:val="28"/>
          <w:szCs w:val="28"/>
        </w:rPr>
        <w:t>Так как м</w:t>
      </w:r>
      <w:r>
        <w:rPr>
          <w:rFonts w:ascii="Times New Roman" w:hAnsi="Times New Roman"/>
          <w:sz w:val="28"/>
          <w:szCs w:val="28"/>
        </w:rPr>
        <w:t>етодические рекомендации по расчету уровня достижения национальных целей развития Российской Федерации, национальных целей проектов (программ), государственных программ Российской Федерации и их структурных элементов, инициатив социально-экономического раз</w:t>
      </w:r>
      <w:r>
        <w:rPr>
          <w:rFonts w:ascii="Times New Roman" w:hAnsi="Times New Roman"/>
          <w:sz w:val="28"/>
          <w:szCs w:val="28"/>
        </w:rPr>
        <w:t>вития Российской Федерации, региональных программ (далее – Методика) не могут быть применены без соответствующей адаптации к оценке влияния результатов реализации государственных программ Камчатского края на достижение показателей национальных целей (госуд</w:t>
      </w:r>
      <w:r>
        <w:rPr>
          <w:rFonts w:ascii="Times New Roman" w:hAnsi="Times New Roman"/>
          <w:sz w:val="28"/>
          <w:szCs w:val="28"/>
        </w:rPr>
        <w:t>арственные программы Камчатского края не содержат всех компонентов, на базе которых должна быть построена оценка уровня достижения национальных целей), Управлением по национальным проектам и стратегической деятельности Администрации Губернатора Камчатского</w:t>
      </w:r>
      <w:r>
        <w:rPr>
          <w:rFonts w:ascii="Times New Roman" w:hAnsi="Times New Roman"/>
          <w:sz w:val="28"/>
          <w:szCs w:val="28"/>
        </w:rPr>
        <w:t xml:space="preserve"> края совместно с Министерством экономического развития Камчатского края разработан перечень показателей государственных программ Камчатского края, по достижению которых может быть оценен уровень достижения государственных программ Камчатского края.</w:t>
      </w:r>
    </w:p>
    <w:p w:rsidR="00583DA6" w:rsidRDefault="006A45D9">
      <w:pPr>
        <w:ind w:firstLine="709"/>
        <w:jc w:val="both"/>
        <w:rPr>
          <w:rFonts w:ascii="Times New Roman" w:hAnsi="Times New Roman"/>
          <w:sz w:val="28"/>
          <w:szCs w:val="28"/>
        </w:rPr>
      </w:pPr>
      <w:r>
        <w:rPr>
          <w:rFonts w:ascii="Times New Roman" w:hAnsi="Times New Roman"/>
          <w:sz w:val="28"/>
          <w:szCs w:val="28"/>
        </w:rPr>
        <w:t>По сос</w:t>
      </w:r>
      <w:r>
        <w:rPr>
          <w:rFonts w:ascii="Times New Roman" w:hAnsi="Times New Roman"/>
          <w:sz w:val="28"/>
          <w:szCs w:val="28"/>
        </w:rPr>
        <w:t>тоянию на 2022 год в 23 государственных программах Камчатского края содержится 133 показателя, оказывающих влияние на достижение национальных целей в Камчатском крае.</w:t>
      </w:r>
    </w:p>
    <w:p w:rsidR="00583DA6" w:rsidRDefault="006A45D9">
      <w:pPr>
        <w:ind w:firstLine="709"/>
        <w:jc w:val="both"/>
        <w:rPr>
          <w:rFonts w:ascii="Times New Roman" w:hAnsi="Times New Roman"/>
          <w:sz w:val="28"/>
          <w:szCs w:val="28"/>
        </w:rPr>
      </w:pPr>
      <w:r>
        <w:rPr>
          <w:rFonts w:ascii="Times New Roman" w:hAnsi="Times New Roman"/>
          <w:sz w:val="28"/>
          <w:szCs w:val="28"/>
        </w:rPr>
        <w:t>Наибольшее количество показателей государственных программ Камчатского края направлены на</w:t>
      </w:r>
      <w:r>
        <w:rPr>
          <w:rFonts w:ascii="Times New Roman" w:hAnsi="Times New Roman"/>
          <w:sz w:val="28"/>
          <w:szCs w:val="28"/>
        </w:rPr>
        <w:t xml:space="preserve"> достижение национальных целей: «Сохранение населения, здоровье и благополучие людей» и «Комфортная и безопасная среда для жизни» по 41 и 31 показателю соответственно.</w:t>
      </w:r>
    </w:p>
    <w:p w:rsidR="00583DA6" w:rsidRDefault="006A45D9">
      <w:pPr>
        <w:ind w:firstLine="709"/>
        <w:jc w:val="both"/>
        <w:rPr>
          <w:rFonts w:ascii="Times New Roman" w:hAnsi="Times New Roman"/>
          <w:sz w:val="28"/>
          <w:szCs w:val="28"/>
        </w:rPr>
      </w:pPr>
      <w:r>
        <w:rPr>
          <w:rFonts w:ascii="Times New Roman" w:hAnsi="Times New Roman"/>
          <w:sz w:val="28"/>
          <w:szCs w:val="28"/>
        </w:rPr>
        <w:t>Общее достижение показателей (кроме показателей, направленных на достижение национальной</w:t>
      </w:r>
      <w:r>
        <w:rPr>
          <w:rFonts w:ascii="Times New Roman" w:hAnsi="Times New Roman"/>
          <w:sz w:val="28"/>
          <w:szCs w:val="28"/>
        </w:rPr>
        <w:t xml:space="preserve"> цели «Сохранение населения, здоровье и благополучие людей») превышает 100%.</w:t>
      </w:r>
    </w:p>
    <w:p w:rsidR="00583DA6" w:rsidRDefault="006A45D9">
      <w:pPr>
        <w:ind w:firstLine="709"/>
        <w:jc w:val="both"/>
        <w:rPr>
          <w:rFonts w:ascii="Times New Roman" w:hAnsi="Times New Roman"/>
          <w:sz w:val="28"/>
          <w:szCs w:val="28"/>
        </w:rPr>
      </w:pPr>
      <w:r>
        <w:rPr>
          <w:rFonts w:ascii="Times New Roman" w:hAnsi="Times New Roman"/>
          <w:sz w:val="28"/>
          <w:szCs w:val="28"/>
        </w:rPr>
        <w:t>Распределение государственных программ Камчатского края и их показателей, влияющих на достижение национальных целей приведены ниже.</w:t>
      </w:r>
    </w:p>
    <w:p w:rsidR="00583DA6" w:rsidRDefault="00583DA6">
      <w:pPr>
        <w:ind w:firstLine="709"/>
        <w:jc w:val="both"/>
        <w:rPr>
          <w:rFonts w:ascii="Times New Roman" w:hAnsi="Times New Roman"/>
          <w:sz w:val="28"/>
          <w:szCs w:val="28"/>
        </w:rPr>
      </w:pPr>
    </w:p>
    <w:tbl>
      <w:tblPr>
        <w:tblStyle w:val="afff5"/>
        <w:tblW w:w="9632" w:type="dxa"/>
        <w:jc w:val="center"/>
        <w:tblLayout w:type="fixed"/>
        <w:tblLook w:val="04A0" w:firstRow="1" w:lastRow="0" w:firstColumn="1" w:lastColumn="0" w:noHBand="0" w:noVBand="1"/>
      </w:tblPr>
      <w:tblGrid>
        <w:gridCol w:w="3210"/>
        <w:gridCol w:w="3211"/>
        <w:gridCol w:w="3211"/>
      </w:tblGrid>
      <w:tr w:rsidR="00583DA6">
        <w:trPr>
          <w:jc w:val="center"/>
        </w:trPr>
        <w:tc>
          <w:tcPr>
            <w:tcW w:w="3210" w:type="dxa"/>
            <w:tcBorders>
              <w:top w:val="nil"/>
              <w:left w:val="nil"/>
              <w:right w:val="dotted" w:sz="4" w:space="0" w:color="000000"/>
            </w:tcBorders>
            <w:vAlign w:val="center"/>
          </w:tcPr>
          <w:p w:rsidR="00583DA6" w:rsidRDefault="006A45D9">
            <w:pPr>
              <w:widowControl w:val="0"/>
              <w:jc w:val="center"/>
              <w:rPr>
                <w:rFonts w:ascii="Times New Roman" w:hAnsi="Times New Roman"/>
                <w:b/>
                <w:bCs/>
                <w:sz w:val="20"/>
                <w:szCs w:val="20"/>
              </w:rPr>
            </w:pPr>
            <w:r>
              <w:rPr>
                <w:rFonts w:ascii="Times New Roman" w:hAnsi="Times New Roman"/>
                <w:b/>
                <w:bCs/>
                <w:sz w:val="20"/>
                <w:szCs w:val="20"/>
              </w:rPr>
              <w:t>Наименование национальной цели Российской Феде</w:t>
            </w:r>
            <w:r>
              <w:rPr>
                <w:rFonts w:ascii="Times New Roman" w:hAnsi="Times New Roman"/>
                <w:b/>
                <w:bCs/>
                <w:sz w:val="20"/>
                <w:szCs w:val="20"/>
              </w:rPr>
              <w:t>рации</w:t>
            </w:r>
          </w:p>
        </w:tc>
        <w:tc>
          <w:tcPr>
            <w:tcW w:w="3211" w:type="dxa"/>
            <w:tcBorders>
              <w:top w:val="nil"/>
              <w:left w:val="dotted" w:sz="4" w:space="0" w:color="000000"/>
              <w:right w:val="dotted" w:sz="4" w:space="0" w:color="000000"/>
            </w:tcBorders>
            <w:vAlign w:val="center"/>
          </w:tcPr>
          <w:p w:rsidR="00583DA6" w:rsidRDefault="006A45D9">
            <w:pPr>
              <w:widowControl w:val="0"/>
              <w:jc w:val="center"/>
              <w:rPr>
                <w:rFonts w:ascii="Times New Roman" w:hAnsi="Times New Roman"/>
                <w:b/>
                <w:bCs/>
                <w:sz w:val="20"/>
                <w:szCs w:val="20"/>
              </w:rPr>
            </w:pPr>
            <w:r>
              <w:rPr>
                <w:rFonts w:ascii="Times New Roman" w:hAnsi="Times New Roman"/>
                <w:b/>
                <w:bCs/>
                <w:sz w:val="20"/>
                <w:szCs w:val="20"/>
              </w:rPr>
              <w:t>Количество показателей государственных программ Камчатского края, влияющих на достижение национальной цели</w:t>
            </w:r>
          </w:p>
        </w:tc>
        <w:tc>
          <w:tcPr>
            <w:tcW w:w="3211" w:type="dxa"/>
            <w:tcBorders>
              <w:top w:val="nil"/>
              <w:left w:val="dotted" w:sz="4" w:space="0" w:color="000000"/>
              <w:right w:val="nil"/>
            </w:tcBorders>
            <w:vAlign w:val="center"/>
          </w:tcPr>
          <w:p w:rsidR="00583DA6" w:rsidRDefault="006A45D9">
            <w:pPr>
              <w:widowControl w:val="0"/>
              <w:jc w:val="center"/>
              <w:rPr>
                <w:rFonts w:ascii="Times New Roman" w:hAnsi="Times New Roman"/>
                <w:b/>
                <w:bCs/>
                <w:sz w:val="20"/>
                <w:szCs w:val="20"/>
              </w:rPr>
            </w:pPr>
            <w:r>
              <w:rPr>
                <w:rFonts w:ascii="Times New Roman" w:hAnsi="Times New Roman"/>
                <w:b/>
                <w:bCs/>
                <w:sz w:val="20"/>
                <w:szCs w:val="20"/>
              </w:rPr>
              <w:t>Количество государственных программ Камчатского края, содержащие соответствующие показатели</w:t>
            </w:r>
          </w:p>
        </w:tc>
      </w:tr>
      <w:tr w:rsidR="00583DA6">
        <w:trPr>
          <w:jc w:val="center"/>
        </w:trPr>
        <w:tc>
          <w:tcPr>
            <w:tcW w:w="3210" w:type="dxa"/>
            <w:tcBorders>
              <w:left w:val="nil"/>
              <w:bottom w:val="nil"/>
              <w:right w:val="dotted" w:sz="4" w:space="0" w:color="000000"/>
            </w:tcBorders>
          </w:tcPr>
          <w:p w:rsidR="00583DA6" w:rsidRDefault="006A45D9">
            <w:pPr>
              <w:widowControl w:val="0"/>
              <w:jc w:val="right"/>
              <w:rPr>
                <w:rFonts w:ascii="Times New Roman" w:hAnsi="Times New Roman"/>
                <w:b/>
                <w:bCs/>
                <w:sz w:val="20"/>
                <w:szCs w:val="20"/>
              </w:rPr>
            </w:pPr>
            <w:r>
              <w:rPr>
                <w:rFonts w:ascii="Times New Roman" w:hAnsi="Times New Roman"/>
                <w:b/>
                <w:bCs/>
                <w:sz w:val="20"/>
                <w:szCs w:val="20"/>
              </w:rPr>
              <w:t xml:space="preserve">Сохранение населения, здоровье и благополучие </w:t>
            </w:r>
            <w:r>
              <w:rPr>
                <w:rFonts w:ascii="Times New Roman" w:hAnsi="Times New Roman"/>
                <w:b/>
                <w:bCs/>
                <w:sz w:val="20"/>
                <w:szCs w:val="20"/>
              </w:rPr>
              <w:t>людей</w:t>
            </w:r>
          </w:p>
        </w:tc>
        <w:tc>
          <w:tcPr>
            <w:tcW w:w="3211" w:type="dxa"/>
            <w:tcBorders>
              <w:left w:val="dotted" w:sz="4" w:space="0" w:color="000000"/>
              <w:bottom w:val="nil"/>
              <w:right w:val="dotted" w:sz="4" w:space="0" w:color="000000"/>
            </w:tcBorders>
          </w:tcPr>
          <w:p w:rsidR="00583DA6" w:rsidRDefault="006A45D9">
            <w:pPr>
              <w:widowControl w:val="0"/>
              <w:jc w:val="center"/>
              <w:rPr>
                <w:rFonts w:ascii="Times New Roman" w:hAnsi="Times New Roman"/>
                <w:sz w:val="20"/>
                <w:szCs w:val="20"/>
              </w:rPr>
            </w:pPr>
            <w:r>
              <w:rPr>
                <w:rFonts w:ascii="Times New Roman" w:hAnsi="Times New Roman"/>
                <w:sz w:val="20"/>
                <w:szCs w:val="20"/>
              </w:rPr>
              <w:t xml:space="preserve">41 показатель, среднее достижение </w:t>
            </w:r>
            <w:r>
              <w:rPr>
                <w:rFonts w:ascii="Times New Roman" w:hAnsi="Times New Roman"/>
                <w:sz w:val="20"/>
                <w:szCs w:val="20"/>
                <w:lang w:val="en-US"/>
              </w:rPr>
              <w:t>9</w:t>
            </w:r>
            <w:r>
              <w:rPr>
                <w:rFonts w:ascii="Times New Roman" w:hAnsi="Times New Roman"/>
                <w:sz w:val="20"/>
                <w:szCs w:val="20"/>
              </w:rPr>
              <w:t>3%.</w:t>
            </w:r>
          </w:p>
        </w:tc>
        <w:tc>
          <w:tcPr>
            <w:tcW w:w="3211" w:type="dxa"/>
            <w:tcBorders>
              <w:left w:val="dotted" w:sz="4" w:space="0" w:color="000000"/>
              <w:bottom w:val="nil"/>
              <w:right w:val="nil"/>
            </w:tcBorders>
          </w:tcPr>
          <w:p w:rsidR="00583DA6" w:rsidRDefault="006A45D9">
            <w:pPr>
              <w:widowControl w:val="0"/>
              <w:jc w:val="center"/>
              <w:rPr>
                <w:rFonts w:ascii="Times New Roman" w:hAnsi="Times New Roman"/>
                <w:sz w:val="20"/>
                <w:szCs w:val="20"/>
              </w:rPr>
            </w:pPr>
            <w:r>
              <w:rPr>
                <w:rFonts w:ascii="Times New Roman" w:hAnsi="Times New Roman"/>
                <w:sz w:val="20"/>
                <w:szCs w:val="20"/>
              </w:rPr>
              <w:t>9 государственных программ</w:t>
            </w:r>
          </w:p>
        </w:tc>
      </w:tr>
      <w:tr w:rsidR="00583DA6">
        <w:trPr>
          <w:jc w:val="center"/>
        </w:trPr>
        <w:tc>
          <w:tcPr>
            <w:tcW w:w="3210" w:type="dxa"/>
            <w:tcBorders>
              <w:top w:val="nil"/>
              <w:left w:val="nil"/>
              <w:right w:val="dotted" w:sz="4" w:space="0" w:color="000000"/>
            </w:tcBorders>
          </w:tcPr>
          <w:p w:rsidR="00583DA6" w:rsidRDefault="00583DA6">
            <w:pPr>
              <w:widowControl w:val="0"/>
              <w:jc w:val="right"/>
              <w:rPr>
                <w:rFonts w:ascii="Times New Roman" w:hAnsi="Times New Roman"/>
                <w:b/>
                <w:bCs/>
                <w:sz w:val="20"/>
                <w:szCs w:val="20"/>
              </w:rPr>
            </w:pPr>
          </w:p>
        </w:tc>
        <w:tc>
          <w:tcPr>
            <w:tcW w:w="3211" w:type="dxa"/>
            <w:tcBorders>
              <w:top w:val="nil"/>
              <w:left w:val="dotted" w:sz="4" w:space="0" w:color="000000"/>
              <w:right w:val="dotted" w:sz="4" w:space="0" w:color="000000"/>
            </w:tcBorders>
          </w:tcPr>
          <w:p w:rsidR="00583DA6" w:rsidRDefault="00583DA6">
            <w:pPr>
              <w:widowControl w:val="0"/>
              <w:jc w:val="center"/>
              <w:rPr>
                <w:rFonts w:ascii="Times New Roman" w:hAnsi="Times New Roman"/>
                <w:sz w:val="20"/>
                <w:szCs w:val="20"/>
              </w:rPr>
            </w:pPr>
          </w:p>
        </w:tc>
        <w:tc>
          <w:tcPr>
            <w:tcW w:w="3211" w:type="dxa"/>
            <w:tcBorders>
              <w:top w:val="nil"/>
              <w:left w:val="dotted" w:sz="4" w:space="0" w:color="000000"/>
              <w:right w:val="nil"/>
            </w:tcBorders>
          </w:tcPr>
          <w:p w:rsidR="00583DA6" w:rsidRDefault="00583DA6">
            <w:pPr>
              <w:widowControl w:val="0"/>
              <w:jc w:val="center"/>
              <w:rPr>
                <w:rFonts w:ascii="Times New Roman" w:hAnsi="Times New Roman"/>
                <w:sz w:val="20"/>
                <w:szCs w:val="20"/>
              </w:rPr>
            </w:pPr>
          </w:p>
        </w:tc>
      </w:tr>
      <w:tr w:rsidR="00583DA6">
        <w:trPr>
          <w:jc w:val="center"/>
        </w:trPr>
        <w:tc>
          <w:tcPr>
            <w:tcW w:w="3210" w:type="dxa"/>
            <w:tcBorders>
              <w:left w:val="nil"/>
              <w:bottom w:val="nil"/>
              <w:right w:val="dotted" w:sz="4" w:space="0" w:color="000000"/>
            </w:tcBorders>
          </w:tcPr>
          <w:p w:rsidR="00583DA6" w:rsidRDefault="006A45D9">
            <w:pPr>
              <w:widowControl w:val="0"/>
              <w:jc w:val="right"/>
              <w:rPr>
                <w:rFonts w:ascii="Times New Roman" w:hAnsi="Times New Roman"/>
                <w:b/>
                <w:bCs/>
                <w:sz w:val="20"/>
                <w:szCs w:val="20"/>
              </w:rPr>
            </w:pPr>
            <w:r>
              <w:rPr>
                <w:rFonts w:ascii="Times New Roman" w:hAnsi="Times New Roman"/>
                <w:b/>
                <w:bCs/>
                <w:sz w:val="20"/>
                <w:szCs w:val="20"/>
              </w:rPr>
              <w:t>Возможности для самореализации и развития талантов</w:t>
            </w:r>
          </w:p>
        </w:tc>
        <w:tc>
          <w:tcPr>
            <w:tcW w:w="3211" w:type="dxa"/>
            <w:tcBorders>
              <w:left w:val="dotted" w:sz="4" w:space="0" w:color="000000"/>
              <w:bottom w:val="nil"/>
              <w:right w:val="dotted" w:sz="4" w:space="0" w:color="000000"/>
            </w:tcBorders>
          </w:tcPr>
          <w:p w:rsidR="00583DA6" w:rsidRDefault="006A45D9">
            <w:pPr>
              <w:widowControl w:val="0"/>
              <w:jc w:val="center"/>
              <w:rPr>
                <w:rFonts w:ascii="Times New Roman" w:hAnsi="Times New Roman"/>
                <w:sz w:val="20"/>
                <w:szCs w:val="20"/>
              </w:rPr>
            </w:pPr>
            <w:r>
              <w:rPr>
                <w:rFonts w:ascii="Times New Roman" w:hAnsi="Times New Roman"/>
                <w:sz w:val="20"/>
                <w:szCs w:val="20"/>
                <w:lang w:val="en-US"/>
              </w:rPr>
              <w:t>29</w:t>
            </w:r>
            <w:r>
              <w:rPr>
                <w:rFonts w:ascii="Times New Roman" w:hAnsi="Times New Roman"/>
                <w:sz w:val="20"/>
                <w:szCs w:val="20"/>
              </w:rPr>
              <w:t xml:space="preserve"> показателей, среднее достижение </w:t>
            </w:r>
            <w:r>
              <w:rPr>
                <w:rFonts w:ascii="Times New Roman" w:hAnsi="Times New Roman"/>
                <w:sz w:val="20"/>
                <w:szCs w:val="20"/>
                <w:lang w:val="en-US"/>
              </w:rPr>
              <w:t>117</w:t>
            </w:r>
            <w:r>
              <w:rPr>
                <w:rFonts w:ascii="Times New Roman" w:hAnsi="Times New Roman"/>
                <w:sz w:val="20"/>
                <w:szCs w:val="20"/>
              </w:rPr>
              <w:t>%.</w:t>
            </w:r>
          </w:p>
        </w:tc>
        <w:tc>
          <w:tcPr>
            <w:tcW w:w="3211" w:type="dxa"/>
            <w:tcBorders>
              <w:left w:val="dotted" w:sz="4" w:space="0" w:color="000000"/>
              <w:bottom w:val="nil"/>
              <w:right w:val="nil"/>
            </w:tcBorders>
          </w:tcPr>
          <w:p w:rsidR="00583DA6" w:rsidRDefault="006A45D9">
            <w:pPr>
              <w:widowControl w:val="0"/>
              <w:jc w:val="center"/>
              <w:rPr>
                <w:rFonts w:ascii="Times New Roman" w:hAnsi="Times New Roman"/>
                <w:sz w:val="20"/>
                <w:szCs w:val="20"/>
              </w:rPr>
            </w:pPr>
            <w:r>
              <w:rPr>
                <w:rFonts w:ascii="Times New Roman" w:hAnsi="Times New Roman"/>
                <w:sz w:val="20"/>
                <w:szCs w:val="20"/>
              </w:rPr>
              <w:t>5 государственных программ</w:t>
            </w:r>
          </w:p>
        </w:tc>
      </w:tr>
      <w:tr w:rsidR="00583DA6">
        <w:trPr>
          <w:jc w:val="center"/>
        </w:trPr>
        <w:tc>
          <w:tcPr>
            <w:tcW w:w="3210" w:type="dxa"/>
            <w:tcBorders>
              <w:top w:val="nil"/>
              <w:left w:val="nil"/>
              <w:right w:val="dotted" w:sz="4" w:space="0" w:color="000000"/>
            </w:tcBorders>
          </w:tcPr>
          <w:p w:rsidR="00583DA6" w:rsidRDefault="00583DA6">
            <w:pPr>
              <w:widowControl w:val="0"/>
              <w:jc w:val="right"/>
              <w:rPr>
                <w:rFonts w:ascii="Times New Roman" w:hAnsi="Times New Roman"/>
                <w:b/>
                <w:bCs/>
                <w:sz w:val="20"/>
                <w:szCs w:val="20"/>
              </w:rPr>
            </w:pPr>
          </w:p>
        </w:tc>
        <w:tc>
          <w:tcPr>
            <w:tcW w:w="3211" w:type="dxa"/>
            <w:tcBorders>
              <w:top w:val="nil"/>
              <w:left w:val="dotted" w:sz="4" w:space="0" w:color="000000"/>
              <w:right w:val="dotted" w:sz="4" w:space="0" w:color="000000"/>
            </w:tcBorders>
          </w:tcPr>
          <w:p w:rsidR="00583DA6" w:rsidRDefault="00583DA6">
            <w:pPr>
              <w:widowControl w:val="0"/>
              <w:jc w:val="center"/>
              <w:rPr>
                <w:rFonts w:ascii="Times New Roman" w:hAnsi="Times New Roman"/>
                <w:sz w:val="20"/>
                <w:szCs w:val="20"/>
              </w:rPr>
            </w:pPr>
          </w:p>
        </w:tc>
        <w:tc>
          <w:tcPr>
            <w:tcW w:w="3211" w:type="dxa"/>
            <w:tcBorders>
              <w:top w:val="nil"/>
              <w:left w:val="dotted" w:sz="4" w:space="0" w:color="000000"/>
              <w:right w:val="nil"/>
            </w:tcBorders>
          </w:tcPr>
          <w:p w:rsidR="00583DA6" w:rsidRDefault="00583DA6">
            <w:pPr>
              <w:widowControl w:val="0"/>
              <w:jc w:val="center"/>
              <w:rPr>
                <w:rFonts w:ascii="Times New Roman" w:hAnsi="Times New Roman"/>
                <w:sz w:val="20"/>
                <w:szCs w:val="20"/>
              </w:rPr>
            </w:pPr>
          </w:p>
        </w:tc>
      </w:tr>
      <w:tr w:rsidR="00583DA6">
        <w:trPr>
          <w:jc w:val="center"/>
        </w:trPr>
        <w:tc>
          <w:tcPr>
            <w:tcW w:w="3210" w:type="dxa"/>
            <w:tcBorders>
              <w:left w:val="nil"/>
              <w:bottom w:val="nil"/>
              <w:right w:val="dotted" w:sz="4" w:space="0" w:color="000000"/>
            </w:tcBorders>
          </w:tcPr>
          <w:p w:rsidR="00583DA6" w:rsidRDefault="006A45D9">
            <w:pPr>
              <w:widowControl w:val="0"/>
              <w:jc w:val="right"/>
              <w:rPr>
                <w:rFonts w:ascii="Times New Roman" w:hAnsi="Times New Roman"/>
                <w:b/>
                <w:bCs/>
                <w:sz w:val="20"/>
                <w:szCs w:val="20"/>
              </w:rPr>
            </w:pPr>
            <w:r>
              <w:rPr>
                <w:rFonts w:ascii="Times New Roman" w:hAnsi="Times New Roman"/>
                <w:b/>
                <w:bCs/>
                <w:sz w:val="20"/>
                <w:szCs w:val="20"/>
              </w:rPr>
              <w:t>Комфортная и безопасная среда для жизни</w:t>
            </w:r>
          </w:p>
        </w:tc>
        <w:tc>
          <w:tcPr>
            <w:tcW w:w="3211" w:type="dxa"/>
            <w:tcBorders>
              <w:left w:val="dotted" w:sz="4" w:space="0" w:color="000000"/>
              <w:bottom w:val="nil"/>
              <w:right w:val="dotted" w:sz="4" w:space="0" w:color="000000"/>
            </w:tcBorders>
          </w:tcPr>
          <w:p w:rsidR="00583DA6" w:rsidRDefault="006A45D9">
            <w:pPr>
              <w:widowControl w:val="0"/>
              <w:jc w:val="center"/>
              <w:rPr>
                <w:rFonts w:ascii="Times New Roman" w:hAnsi="Times New Roman"/>
                <w:sz w:val="20"/>
                <w:szCs w:val="20"/>
              </w:rPr>
            </w:pPr>
            <w:r>
              <w:rPr>
                <w:rFonts w:ascii="Times New Roman" w:hAnsi="Times New Roman"/>
                <w:sz w:val="20"/>
                <w:szCs w:val="20"/>
                <w:lang w:val="en-US"/>
              </w:rPr>
              <w:t>31</w:t>
            </w:r>
            <w:r>
              <w:rPr>
                <w:rFonts w:ascii="Times New Roman" w:hAnsi="Times New Roman"/>
                <w:sz w:val="20"/>
                <w:szCs w:val="20"/>
              </w:rPr>
              <w:t xml:space="preserve"> показатель, среднее достижение </w:t>
            </w:r>
            <w:r>
              <w:rPr>
                <w:rFonts w:ascii="Times New Roman" w:hAnsi="Times New Roman"/>
                <w:sz w:val="20"/>
                <w:szCs w:val="20"/>
                <w:lang w:val="en-US"/>
              </w:rPr>
              <w:t>134</w:t>
            </w:r>
            <w:r>
              <w:rPr>
                <w:rFonts w:ascii="Times New Roman" w:hAnsi="Times New Roman"/>
                <w:sz w:val="20"/>
                <w:szCs w:val="20"/>
              </w:rPr>
              <w:t>%.</w:t>
            </w:r>
          </w:p>
        </w:tc>
        <w:tc>
          <w:tcPr>
            <w:tcW w:w="3211" w:type="dxa"/>
            <w:tcBorders>
              <w:left w:val="dotted" w:sz="4" w:space="0" w:color="000000"/>
              <w:bottom w:val="nil"/>
              <w:right w:val="nil"/>
            </w:tcBorders>
          </w:tcPr>
          <w:p w:rsidR="00583DA6" w:rsidRDefault="006A45D9">
            <w:pPr>
              <w:widowControl w:val="0"/>
              <w:jc w:val="center"/>
              <w:rPr>
                <w:rFonts w:ascii="Times New Roman" w:hAnsi="Times New Roman"/>
                <w:sz w:val="20"/>
                <w:szCs w:val="20"/>
              </w:rPr>
            </w:pPr>
            <w:r>
              <w:rPr>
                <w:rFonts w:ascii="Times New Roman" w:hAnsi="Times New Roman"/>
                <w:sz w:val="20"/>
                <w:szCs w:val="20"/>
              </w:rPr>
              <w:t>9 государственных программ,</w:t>
            </w:r>
          </w:p>
        </w:tc>
      </w:tr>
      <w:tr w:rsidR="00583DA6">
        <w:trPr>
          <w:jc w:val="center"/>
        </w:trPr>
        <w:tc>
          <w:tcPr>
            <w:tcW w:w="3210" w:type="dxa"/>
            <w:tcBorders>
              <w:top w:val="nil"/>
              <w:left w:val="nil"/>
              <w:right w:val="dotted" w:sz="4" w:space="0" w:color="000000"/>
            </w:tcBorders>
          </w:tcPr>
          <w:p w:rsidR="00583DA6" w:rsidRDefault="00583DA6">
            <w:pPr>
              <w:widowControl w:val="0"/>
              <w:jc w:val="right"/>
              <w:rPr>
                <w:rFonts w:ascii="Times New Roman" w:hAnsi="Times New Roman"/>
                <w:b/>
                <w:bCs/>
                <w:sz w:val="20"/>
                <w:szCs w:val="20"/>
              </w:rPr>
            </w:pPr>
          </w:p>
        </w:tc>
        <w:tc>
          <w:tcPr>
            <w:tcW w:w="3211" w:type="dxa"/>
            <w:tcBorders>
              <w:top w:val="nil"/>
              <w:left w:val="dotted" w:sz="4" w:space="0" w:color="000000"/>
              <w:right w:val="dotted" w:sz="4" w:space="0" w:color="000000"/>
            </w:tcBorders>
          </w:tcPr>
          <w:p w:rsidR="00583DA6" w:rsidRDefault="00583DA6">
            <w:pPr>
              <w:widowControl w:val="0"/>
              <w:jc w:val="center"/>
              <w:rPr>
                <w:rFonts w:ascii="Times New Roman" w:hAnsi="Times New Roman"/>
                <w:sz w:val="20"/>
                <w:szCs w:val="20"/>
              </w:rPr>
            </w:pPr>
          </w:p>
        </w:tc>
        <w:tc>
          <w:tcPr>
            <w:tcW w:w="3211" w:type="dxa"/>
            <w:tcBorders>
              <w:top w:val="nil"/>
              <w:left w:val="dotted" w:sz="4" w:space="0" w:color="000000"/>
              <w:right w:val="nil"/>
            </w:tcBorders>
          </w:tcPr>
          <w:p w:rsidR="00583DA6" w:rsidRDefault="00583DA6">
            <w:pPr>
              <w:widowControl w:val="0"/>
              <w:jc w:val="center"/>
              <w:rPr>
                <w:rFonts w:ascii="Times New Roman" w:hAnsi="Times New Roman"/>
                <w:sz w:val="20"/>
                <w:szCs w:val="20"/>
              </w:rPr>
            </w:pPr>
          </w:p>
        </w:tc>
      </w:tr>
      <w:tr w:rsidR="00583DA6">
        <w:trPr>
          <w:jc w:val="center"/>
        </w:trPr>
        <w:tc>
          <w:tcPr>
            <w:tcW w:w="3210" w:type="dxa"/>
            <w:tcBorders>
              <w:left w:val="nil"/>
              <w:bottom w:val="nil"/>
              <w:right w:val="dotted" w:sz="4" w:space="0" w:color="000000"/>
            </w:tcBorders>
          </w:tcPr>
          <w:p w:rsidR="00583DA6" w:rsidRDefault="006A45D9">
            <w:pPr>
              <w:widowControl w:val="0"/>
              <w:jc w:val="right"/>
              <w:rPr>
                <w:rFonts w:ascii="Times New Roman" w:hAnsi="Times New Roman"/>
                <w:b/>
                <w:bCs/>
                <w:sz w:val="20"/>
                <w:szCs w:val="20"/>
              </w:rPr>
            </w:pPr>
            <w:r>
              <w:rPr>
                <w:rFonts w:ascii="Times New Roman" w:hAnsi="Times New Roman"/>
                <w:b/>
                <w:bCs/>
                <w:sz w:val="20"/>
                <w:szCs w:val="20"/>
              </w:rPr>
              <w:t>Достойный, эффективный труд и успешное предпринимательство</w:t>
            </w:r>
          </w:p>
        </w:tc>
        <w:tc>
          <w:tcPr>
            <w:tcW w:w="3211" w:type="dxa"/>
            <w:tcBorders>
              <w:left w:val="dotted" w:sz="4" w:space="0" w:color="000000"/>
              <w:bottom w:val="nil"/>
              <w:right w:val="dotted" w:sz="4" w:space="0" w:color="000000"/>
            </w:tcBorders>
          </w:tcPr>
          <w:p w:rsidR="00583DA6" w:rsidRDefault="006A45D9">
            <w:pPr>
              <w:widowControl w:val="0"/>
              <w:jc w:val="center"/>
              <w:rPr>
                <w:rFonts w:ascii="Times New Roman" w:hAnsi="Times New Roman"/>
                <w:sz w:val="20"/>
                <w:szCs w:val="20"/>
              </w:rPr>
            </w:pPr>
            <w:r>
              <w:rPr>
                <w:rFonts w:ascii="Times New Roman" w:hAnsi="Times New Roman"/>
                <w:sz w:val="20"/>
                <w:szCs w:val="20"/>
              </w:rPr>
              <w:t xml:space="preserve">22 показателя, среднее достижение </w:t>
            </w:r>
            <w:r>
              <w:rPr>
                <w:rFonts w:ascii="Times New Roman" w:hAnsi="Times New Roman"/>
                <w:sz w:val="20"/>
                <w:szCs w:val="20"/>
                <w:lang w:val="en-US"/>
              </w:rPr>
              <w:t>11</w:t>
            </w:r>
            <w:r>
              <w:rPr>
                <w:rFonts w:ascii="Times New Roman" w:hAnsi="Times New Roman"/>
                <w:sz w:val="20"/>
                <w:szCs w:val="20"/>
              </w:rPr>
              <w:t>1%.</w:t>
            </w:r>
          </w:p>
        </w:tc>
        <w:tc>
          <w:tcPr>
            <w:tcW w:w="3211" w:type="dxa"/>
            <w:tcBorders>
              <w:left w:val="dotted" w:sz="4" w:space="0" w:color="000000"/>
              <w:bottom w:val="nil"/>
              <w:right w:val="nil"/>
            </w:tcBorders>
          </w:tcPr>
          <w:p w:rsidR="00583DA6" w:rsidRDefault="006A45D9">
            <w:pPr>
              <w:widowControl w:val="0"/>
              <w:jc w:val="center"/>
              <w:rPr>
                <w:rFonts w:ascii="Times New Roman" w:hAnsi="Times New Roman"/>
                <w:sz w:val="20"/>
                <w:szCs w:val="20"/>
              </w:rPr>
            </w:pPr>
            <w:r>
              <w:rPr>
                <w:rFonts w:ascii="Times New Roman" w:hAnsi="Times New Roman"/>
                <w:sz w:val="20"/>
                <w:szCs w:val="20"/>
              </w:rPr>
              <w:t>9 государственных программ</w:t>
            </w:r>
          </w:p>
        </w:tc>
      </w:tr>
      <w:tr w:rsidR="00583DA6">
        <w:trPr>
          <w:jc w:val="center"/>
        </w:trPr>
        <w:tc>
          <w:tcPr>
            <w:tcW w:w="3210" w:type="dxa"/>
            <w:tcBorders>
              <w:top w:val="nil"/>
              <w:left w:val="nil"/>
              <w:right w:val="dotted" w:sz="4" w:space="0" w:color="000000"/>
            </w:tcBorders>
          </w:tcPr>
          <w:p w:rsidR="00583DA6" w:rsidRDefault="00583DA6">
            <w:pPr>
              <w:widowControl w:val="0"/>
              <w:jc w:val="right"/>
              <w:rPr>
                <w:rFonts w:ascii="Times New Roman" w:hAnsi="Times New Roman"/>
                <w:b/>
                <w:bCs/>
                <w:sz w:val="20"/>
                <w:szCs w:val="20"/>
              </w:rPr>
            </w:pPr>
          </w:p>
        </w:tc>
        <w:tc>
          <w:tcPr>
            <w:tcW w:w="3211" w:type="dxa"/>
            <w:tcBorders>
              <w:top w:val="nil"/>
              <w:left w:val="dotted" w:sz="4" w:space="0" w:color="000000"/>
              <w:right w:val="dotted" w:sz="4" w:space="0" w:color="000000"/>
            </w:tcBorders>
          </w:tcPr>
          <w:p w:rsidR="00583DA6" w:rsidRDefault="00583DA6">
            <w:pPr>
              <w:widowControl w:val="0"/>
              <w:jc w:val="center"/>
              <w:rPr>
                <w:rFonts w:ascii="Times New Roman" w:hAnsi="Times New Roman"/>
                <w:sz w:val="20"/>
                <w:szCs w:val="20"/>
              </w:rPr>
            </w:pPr>
          </w:p>
        </w:tc>
        <w:tc>
          <w:tcPr>
            <w:tcW w:w="3211" w:type="dxa"/>
            <w:tcBorders>
              <w:top w:val="nil"/>
              <w:left w:val="dotted" w:sz="4" w:space="0" w:color="000000"/>
              <w:right w:val="nil"/>
            </w:tcBorders>
          </w:tcPr>
          <w:p w:rsidR="00583DA6" w:rsidRDefault="00583DA6">
            <w:pPr>
              <w:widowControl w:val="0"/>
              <w:jc w:val="center"/>
              <w:rPr>
                <w:rFonts w:ascii="Times New Roman" w:hAnsi="Times New Roman"/>
                <w:sz w:val="20"/>
                <w:szCs w:val="20"/>
              </w:rPr>
            </w:pPr>
          </w:p>
        </w:tc>
      </w:tr>
      <w:tr w:rsidR="00583DA6">
        <w:trPr>
          <w:jc w:val="center"/>
        </w:trPr>
        <w:tc>
          <w:tcPr>
            <w:tcW w:w="3210" w:type="dxa"/>
            <w:tcBorders>
              <w:left w:val="nil"/>
              <w:bottom w:val="nil"/>
              <w:right w:val="dotted" w:sz="4" w:space="0" w:color="000000"/>
            </w:tcBorders>
          </w:tcPr>
          <w:p w:rsidR="00583DA6" w:rsidRDefault="006A45D9">
            <w:pPr>
              <w:widowControl w:val="0"/>
              <w:jc w:val="right"/>
              <w:rPr>
                <w:rFonts w:ascii="Times New Roman" w:hAnsi="Times New Roman"/>
                <w:b/>
                <w:bCs/>
                <w:sz w:val="20"/>
                <w:szCs w:val="20"/>
              </w:rPr>
            </w:pPr>
            <w:r>
              <w:rPr>
                <w:rFonts w:ascii="Times New Roman" w:hAnsi="Times New Roman"/>
                <w:b/>
                <w:bCs/>
                <w:sz w:val="20"/>
                <w:szCs w:val="20"/>
              </w:rPr>
              <w:t>Цифровая трансформация</w:t>
            </w:r>
          </w:p>
        </w:tc>
        <w:tc>
          <w:tcPr>
            <w:tcW w:w="3211" w:type="dxa"/>
            <w:tcBorders>
              <w:left w:val="dotted" w:sz="4" w:space="0" w:color="000000"/>
              <w:bottom w:val="nil"/>
              <w:right w:val="dotted" w:sz="4" w:space="0" w:color="000000"/>
            </w:tcBorders>
          </w:tcPr>
          <w:p w:rsidR="00583DA6" w:rsidRDefault="006A45D9">
            <w:pPr>
              <w:widowControl w:val="0"/>
              <w:jc w:val="center"/>
              <w:rPr>
                <w:rFonts w:ascii="Times New Roman" w:hAnsi="Times New Roman"/>
                <w:sz w:val="20"/>
                <w:szCs w:val="20"/>
              </w:rPr>
            </w:pPr>
            <w:r>
              <w:rPr>
                <w:rFonts w:ascii="Times New Roman" w:hAnsi="Times New Roman"/>
                <w:sz w:val="20"/>
                <w:szCs w:val="20"/>
                <w:lang w:val="en-US"/>
              </w:rPr>
              <w:t>10</w:t>
            </w:r>
            <w:r>
              <w:rPr>
                <w:rFonts w:ascii="Times New Roman" w:hAnsi="Times New Roman"/>
                <w:sz w:val="20"/>
                <w:szCs w:val="20"/>
              </w:rPr>
              <w:t xml:space="preserve"> показателей, среднее достижение </w:t>
            </w:r>
            <w:r>
              <w:rPr>
                <w:rFonts w:ascii="Times New Roman" w:hAnsi="Times New Roman"/>
                <w:sz w:val="20"/>
                <w:szCs w:val="20"/>
                <w:lang w:val="en-US"/>
              </w:rPr>
              <w:t>223</w:t>
            </w:r>
            <w:r>
              <w:rPr>
                <w:rFonts w:ascii="Times New Roman" w:hAnsi="Times New Roman"/>
                <w:sz w:val="20"/>
                <w:szCs w:val="20"/>
              </w:rPr>
              <w:t>%.</w:t>
            </w:r>
          </w:p>
        </w:tc>
        <w:tc>
          <w:tcPr>
            <w:tcW w:w="3211" w:type="dxa"/>
            <w:tcBorders>
              <w:left w:val="dotted" w:sz="4" w:space="0" w:color="000000"/>
              <w:bottom w:val="nil"/>
              <w:right w:val="nil"/>
            </w:tcBorders>
          </w:tcPr>
          <w:p w:rsidR="00583DA6" w:rsidRDefault="006A45D9">
            <w:pPr>
              <w:widowControl w:val="0"/>
              <w:jc w:val="center"/>
              <w:rPr>
                <w:rFonts w:ascii="Times New Roman" w:hAnsi="Times New Roman"/>
                <w:sz w:val="20"/>
                <w:szCs w:val="20"/>
              </w:rPr>
            </w:pPr>
            <w:r>
              <w:rPr>
                <w:rFonts w:ascii="Times New Roman" w:hAnsi="Times New Roman"/>
                <w:sz w:val="20"/>
                <w:szCs w:val="20"/>
              </w:rPr>
              <w:t>1 государственная программа</w:t>
            </w:r>
          </w:p>
        </w:tc>
      </w:tr>
    </w:tbl>
    <w:p w:rsidR="00583DA6" w:rsidRDefault="00583DA6">
      <w:pPr>
        <w:ind w:firstLine="709"/>
        <w:jc w:val="both"/>
        <w:rPr>
          <w:rFonts w:ascii="Times New Roman" w:hAnsi="Times New Roman"/>
          <w:sz w:val="28"/>
          <w:szCs w:val="28"/>
        </w:rPr>
      </w:pPr>
    </w:p>
    <w:p w:rsidR="00583DA6" w:rsidRDefault="00583DA6">
      <w:pPr>
        <w:ind w:left="-709" w:firstLine="142"/>
        <w:rPr>
          <w:rFonts w:ascii="Times New Roman" w:hAnsi="Times New Roman"/>
          <w:bCs/>
          <w:sz w:val="26"/>
          <w:szCs w:val="26"/>
        </w:rPr>
      </w:pPr>
    </w:p>
    <w:p w:rsidR="00583DA6" w:rsidRDefault="006A45D9">
      <w:pPr>
        <w:numPr>
          <w:ilvl w:val="0"/>
          <w:numId w:val="1"/>
        </w:numPr>
        <w:jc w:val="center"/>
        <w:outlineLvl w:val="0"/>
        <w:rPr>
          <w:rFonts w:ascii="Times New Roman" w:hAnsi="Times New Roman"/>
          <w:b/>
          <w:sz w:val="28"/>
          <w:szCs w:val="28"/>
        </w:rPr>
      </w:pPr>
      <w:bookmarkStart w:id="2" w:name="_Toc132664192"/>
      <w:r>
        <w:rPr>
          <w:rFonts w:ascii="Times New Roman" w:hAnsi="Times New Roman"/>
          <w:b/>
          <w:sz w:val="28"/>
          <w:szCs w:val="28"/>
        </w:rPr>
        <w:t xml:space="preserve">Сводные данные о ходе реализации государственных программ Камчатского края, включая сведения об основных результатах и наступлении контрольных событий за отчетный период, в том числе </w:t>
      </w:r>
      <w:r>
        <w:rPr>
          <w:rFonts w:ascii="Times New Roman" w:hAnsi="Times New Roman"/>
          <w:b/>
          <w:sz w:val="28"/>
          <w:szCs w:val="28"/>
        </w:rPr>
        <w:t>инвестиционной программы</w:t>
      </w:r>
      <w:bookmarkEnd w:id="2"/>
    </w:p>
    <w:p w:rsidR="00583DA6" w:rsidRDefault="00583DA6">
      <w:pPr>
        <w:jc w:val="center"/>
        <w:rPr>
          <w:rFonts w:ascii="Times New Roman" w:hAnsi="Times New Roman"/>
          <w:b/>
          <w:sz w:val="28"/>
          <w:szCs w:val="28"/>
        </w:rPr>
      </w:pPr>
    </w:p>
    <w:p w:rsidR="00583DA6" w:rsidRDefault="006A45D9">
      <w:pPr>
        <w:ind w:firstLine="709"/>
        <w:jc w:val="both"/>
        <w:rPr>
          <w:rFonts w:ascii="Times New Roman" w:hAnsi="Times New Roman"/>
          <w:sz w:val="28"/>
          <w:szCs w:val="28"/>
        </w:rPr>
      </w:pPr>
      <w:r>
        <w:rPr>
          <w:rFonts w:ascii="Times New Roman" w:hAnsi="Times New Roman"/>
          <w:sz w:val="28"/>
          <w:szCs w:val="28"/>
        </w:rPr>
        <w:t>Минэкономразвития Камчатского края проведен анализ достижения целевых показателей государственных программ Камчатского края.</w:t>
      </w:r>
    </w:p>
    <w:p w:rsidR="00583DA6" w:rsidRDefault="006A45D9">
      <w:pPr>
        <w:ind w:firstLine="709"/>
        <w:jc w:val="both"/>
        <w:rPr>
          <w:rFonts w:ascii="Times New Roman" w:hAnsi="Times New Roman"/>
          <w:sz w:val="28"/>
          <w:szCs w:val="28"/>
        </w:rPr>
      </w:pPr>
      <w:r>
        <w:rPr>
          <w:rFonts w:ascii="Times New Roman" w:hAnsi="Times New Roman"/>
          <w:sz w:val="28"/>
          <w:szCs w:val="28"/>
        </w:rPr>
        <w:t>Ниже приведены сведения о значениях ключевых показателей отдельных государственных программ Камчатского к</w:t>
      </w:r>
      <w:r>
        <w:rPr>
          <w:rFonts w:ascii="Times New Roman" w:hAnsi="Times New Roman"/>
          <w:sz w:val="28"/>
          <w:szCs w:val="28"/>
        </w:rPr>
        <w:t>рая и итогов реализации значимых мероприятий по направлениям.</w:t>
      </w:r>
    </w:p>
    <w:p w:rsidR="00583DA6" w:rsidRDefault="00583DA6">
      <w:pPr>
        <w:ind w:firstLine="709"/>
        <w:jc w:val="both"/>
        <w:rPr>
          <w:rFonts w:ascii="Times New Roman" w:eastAsia="Times New Roman" w:hAnsi="Times New Roman"/>
          <w:b/>
          <w:sz w:val="28"/>
          <w:szCs w:val="28"/>
          <w:lang w:eastAsia="ru-RU"/>
        </w:rPr>
      </w:pPr>
    </w:p>
    <w:p w:rsidR="00583DA6" w:rsidRDefault="006A45D9">
      <w:pPr>
        <w:pBdr>
          <w:top w:val="single" w:sz="18" w:space="1" w:color="000000"/>
        </w:pBdr>
        <w:ind w:firstLine="709"/>
        <w:jc w:val="both"/>
        <w:outlineLvl w:val="2"/>
        <w:rPr>
          <w:rFonts w:ascii="Times New Roman" w:eastAsia="Times New Roman" w:hAnsi="Times New Roman"/>
          <w:b/>
          <w:sz w:val="28"/>
          <w:szCs w:val="28"/>
          <w:lang w:eastAsia="ru-RU"/>
        </w:rPr>
      </w:pPr>
      <w:bookmarkStart w:id="3" w:name="_Toc132664193"/>
      <w:r>
        <w:rPr>
          <w:rFonts w:ascii="Times New Roman" w:eastAsia="Times New Roman" w:hAnsi="Times New Roman"/>
          <w:b/>
          <w:sz w:val="28"/>
          <w:szCs w:val="28"/>
          <w:lang w:eastAsia="ru-RU"/>
        </w:rPr>
        <w:t>Демография, здоровье, физическая культура и спорт</w:t>
      </w:r>
      <w:bookmarkEnd w:id="3"/>
    </w:p>
    <w:p w:rsidR="00583DA6" w:rsidRDefault="00583DA6">
      <w:pPr>
        <w:ind w:firstLine="709"/>
        <w:jc w:val="both"/>
        <w:rPr>
          <w:rFonts w:ascii="Times New Roman" w:eastAsia="Times New Roman" w:hAnsi="Times New Roman"/>
          <w:sz w:val="28"/>
          <w:szCs w:val="28"/>
          <w:lang w:eastAsia="ru-RU"/>
        </w:rPr>
      </w:pPr>
    </w:p>
    <w:p w:rsidR="00583DA6" w:rsidRDefault="006A45D9">
      <w:pPr>
        <w:ind w:firstLine="709"/>
        <w:jc w:val="both"/>
        <w:rPr>
          <w:rFonts w:ascii="Times New Roman" w:hAnsi="Times New Roman"/>
          <w:sz w:val="28"/>
          <w:szCs w:val="28"/>
        </w:rPr>
      </w:pPr>
      <w:r>
        <w:rPr>
          <w:rFonts w:ascii="Times New Roman" w:hAnsi="Times New Roman"/>
          <w:sz w:val="28"/>
          <w:szCs w:val="28"/>
        </w:rPr>
        <w:t xml:space="preserve">По информации Камчатстата, опубликованной по состоянию на 01.01.2023, в Камчатском крае проживало 289 033 человека, из которых </w:t>
      </w:r>
      <w:r>
        <w:rPr>
          <w:rFonts w:ascii="Times New Roman" w:hAnsi="Times New Roman"/>
          <w:sz w:val="28"/>
          <w:szCs w:val="28"/>
        </w:rPr>
        <w:t>225 304 человека в городах и 63 729 человек в селах (по результатам переписи населения).</w:t>
      </w:r>
    </w:p>
    <w:p w:rsidR="00583DA6" w:rsidRDefault="006A45D9">
      <w:pPr>
        <w:ind w:firstLine="709"/>
        <w:jc w:val="both"/>
        <w:rPr>
          <w:rFonts w:ascii="Times New Roman" w:hAnsi="Times New Roman"/>
          <w:sz w:val="28"/>
          <w:szCs w:val="28"/>
        </w:rPr>
      </w:pPr>
      <w:r>
        <w:rPr>
          <w:rFonts w:ascii="Times New Roman" w:hAnsi="Times New Roman"/>
          <w:sz w:val="28"/>
          <w:szCs w:val="28"/>
        </w:rPr>
        <w:t>Естественная убыль населения за 2022 год составила 881 человек. По оперативным данным родилось 2 966 детей (2021 год – 3 079), умерло 3847 человек.</w:t>
      </w:r>
    </w:p>
    <w:p w:rsidR="00583DA6" w:rsidRDefault="006A45D9">
      <w:pPr>
        <w:ind w:firstLine="709"/>
        <w:jc w:val="both"/>
        <w:rPr>
          <w:rFonts w:ascii="Times New Roman" w:hAnsi="Times New Roman"/>
          <w:sz w:val="28"/>
          <w:szCs w:val="28"/>
        </w:rPr>
      </w:pPr>
      <w:r>
        <w:rPr>
          <w:rFonts w:ascii="Times New Roman" w:hAnsi="Times New Roman"/>
          <w:sz w:val="28"/>
          <w:szCs w:val="28"/>
        </w:rPr>
        <w:t xml:space="preserve">На демографическую </w:t>
      </w:r>
      <w:r>
        <w:rPr>
          <w:rFonts w:ascii="Times New Roman" w:hAnsi="Times New Roman"/>
          <w:sz w:val="28"/>
          <w:szCs w:val="28"/>
        </w:rPr>
        <w:t>ситуацию в Камчатском крае напрямую влияет достижение основных показателей государственной программы Камчатского края «Развитие здравоохранения Камчатского края».</w:t>
      </w:r>
    </w:p>
    <w:p w:rsidR="00583DA6" w:rsidRDefault="006A45D9">
      <w:pPr>
        <w:ind w:firstLine="709"/>
        <w:jc w:val="both"/>
        <w:rPr>
          <w:rFonts w:ascii="Times New Roman" w:hAnsi="Times New Roman"/>
          <w:sz w:val="28"/>
          <w:szCs w:val="28"/>
        </w:rPr>
      </w:pPr>
      <w:r>
        <w:rPr>
          <w:rFonts w:ascii="Times New Roman" w:hAnsi="Times New Roman"/>
          <w:sz w:val="28"/>
          <w:szCs w:val="28"/>
        </w:rPr>
        <w:t>В отчетном году обеспечено снижение смертности (ниже целевого уровня):</w:t>
      </w:r>
    </w:p>
    <w:p w:rsidR="00583DA6" w:rsidRDefault="006A45D9">
      <w:pPr>
        <w:ind w:firstLine="709"/>
        <w:jc w:val="both"/>
        <w:rPr>
          <w:rFonts w:ascii="Times New Roman" w:hAnsi="Times New Roman"/>
          <w:sz w:val="28"/>
          <w:szCs w:val="28"/>
        </w:rPr>
      </w:pPr>
      <w:r>
        <w:rPr>
          <w:rFonts w:ascii="Times New Roman" w:hAnsi="Times New Roman"/>
          <w:sz w:val="28"/>
          <w:szCs w:val="28"/>
        </w:rPr>
        <w:t>– смертность от туберк</w:t>
      </w:r>
      <w:r>
        <w:rPr>
          <w:rFonts w:ascii="Times New Roman" w:hAnsi="Times New Roman"/>
          <w:sz w:val="28"/>
          <w:szCs w:val="28"/>
        </w:rPr>
        <w:t>улеза – 3,2 случаев на 100 тысяч человек населения, целевой индикатор – 7,1;</w:t>
      </w:r>
    </w:p>
    <w:p w:rsidR="00583DA6" w:rsidRDefault="006A45D9">
      <w:pPr>
        <w:ind w:firstLine="709"/>
        <w:jc w:val="both"/>
        <w:rPr>
          <w:rFonts w:ascii="Times New Roman" w:hAnsi="Times New Roman"/>
          <w:sz w:val="28"/>
          <w:szCs w:val="28"/>
        </w:rPr>
      </w:pPr>
      <w:r>
        <w:rPr>
          <w:rFonts w:ascii="Times New Roman" w:hAnsi="Times New Roman"/>
          <w:sz w:val="28"/>
          <w:szCs w:val="28"/>
        </w:rPr>
        <w:t>– смертность от новообразований (в том числе от злокачественных) – 158 случаев на 100 тыс. населения, целевое значение показателя – 168,6;</w:t>
      </w:r>
    </w:p>
    <w:p w:rsidR="00583DA6" w:rsidRDefault="006A45D9">
      <w:pPr>
        <w:ind w:firstLine="709"/>
        <w:jc w:val="both"/>
        <w:rPr>
          <w:rFonts w:ascii="Times New Roman" w:hAnsi="Times New Roman"/>
          <w:sz w:val="28"/>
          <w:szCs w:val="28"/>
        </w:rPr>
      </w:pPr>
      <w:r>
        <w:rPr>
          <w:rFonts w:ascii="Times New Roman" w:hAnsi="Times New Roman"/>
          <w:sz w:val="28"/>
          <w:szCs w:val="28"/>
        </w:rPr>
        <w:t>Вместе с тем не удалось обеспечить дости</w:t>
      </w:r>
      <w:r>
        <w:rPr>
          <w:rFonts w:ascii="Times New Roman" w:hAnsi="Times New Roman"/>
          <w:sz w:val="28"/>
          <w:szCs w:val="28"/>
        </w:rPr>
        <w:t>жение целевого уровня по отдельным показателям смертности:</w:t>
      </w:r>
    </w:p>
    <w:p w:rsidR="00583DA6" w:rsidRDefault="006A45D9">
      <w:pPr>
        <w:ind w:firstLine="709"/>
        <w:jc w:val="both"/>
        <w:rPr>
          <w:rFonts w:ascii="Times New Roman" w:hAnsi="Times New Roman"/>
          <w:sz w:val="28"/>
          <w:szCs w:val="28"/>
        </w:rPr>
      </w:pPr>
      <w:r>
        <w:rPr>
          <w:rFonts w:ascii="Times New Roman" w:hAnsi="Times New Roman"/>
          <w:sz w:val="28"/>
          <w:szCs w:val="28"/>
        </w:rPr>
        <w:t>– смертность населения Камчатского края от всех причин – 12,3 случаев на 1000 населения, при плановом значении показателя – 10,0;</w:t>
      </w:r>
    </w:p>
    <w:p w:rsidR="00583DA6" w:rsidRDefault="006A45D9">
      <w:pPr>
        <w:ind w:firstLine="709"/>
        <w:jc w:val="both"/>
        <w:rPr>
          <w:rFonts w:ascii="Times New Roman" w:hAnsi="Times New Roman"/>
          <w:sz w:val="28"/>
          <w:szCs w:val="28"/>
        </w:rPr>
      </w:pPr>
      <w:r>
        <w:rPr>
          <w:rFonts w:ascii="Times New Roman" w:hAnsi="Times New Roman"/>
          <w:sz w:val="28"/>
          <w:szCs w:val="28"/>
        </w:rPr>
        <w:t>– младенческая смертность – 6,2 случая на 1000 родившихся живыми (2</w:t>
      </w:r>
      <w:r>
        <w:rPr>
          <w:rFonts w:ascii="Times New Roman" w:hAnsi="Times New Roman"/>
          <w:sz w:val="28"/>
          <w:szCs w:val="28"/>
        </w:rPr>
        <w:t>021 год – 4,9 случаев), при целевом значении индикатора – 4,8;</w:t>
      </w:r>
    </w:p>
    <w:p w:rsidR="00583DA6" w:rsidRDefault="006A45D9">
      <w:pPr>
        <w:ind w:firstLine="709"/>
        <w:jc w:val="both"/>
        <w:rPr>
          <w:rFonts w:ascii="Times New Roman" w:hAnsi="Times New Roman"/>
          <w:sz w:val="28"/>
          <w:szCs w:val="28"/>
        </w:rPr>
      </w:pPr>
      <w:r>
        <w:rPr>
          <w:rFonts w:ascii="Times New Roman" w:hAnsi="Times New Roman"/>
          <w:sz w:val="28"/>
          <w:szCs w:val="28"/>
        </w:rPr>
        <w:t>– материнская смертность – 33,8 случаев на 100 тысяч родившихся живыми (в 2021 году случаев материнской смертности не зафиксировано), при целевом значении индикатора – 25,3 случая;</w:t>
      </w:r>
    </w:p>
    <w:p w:rsidR="00583DA6" w:rsidRDefault="006A45D9">
      <w:pPr>
        <w:ind w:firstLine="709"/>
        <w:jc w:val="both"/>
        <w:rPr>
          <w:rFonts w:ascii="Times New Roman" w:hAnsi="Times New Roman"/>
          <w:sz w:val="28"/>
          <w:szCs w:val="28"/>
        </w:rPr>
      </w:pPr>
      <w:r>
        <w:rPr>
          <w:rFonts w:ascii="Times New Roman" w:hAnsi="Times New Roman"/>
          <w:sz w:val="28"/>
          <w:szCs w:val="28"/>
        </w:rPr>
        <w:t>– смертность</w:t>
      </w:r>
      <w:r>
        <w:rPr>
          <w:rFonts w:ascii="Times New Roman" w:hAnsi="Times New Roman"/>
          <w:sz w:val="28"/>
          <w:szCs w:val="28"/>
        </w:rPr>
        <w:t xml:space="preserve"> от болезней системы кровообращения – 630,9 случаев на 100 тысяч человек населения (целевой индикатор – 479,2);</w:t>
      </w:r>
    </w:p>
    <w:p w:rsidR="00583DA6" w:rsidRDefault="006A45D9">
      <w:pPr>
        <w:ind w:firstLine="709"/>
        <w:jc w:val="both"/>
        <w:rPr>
          <w:rFonts w:ascii="Times New Roman" w:hAnsi="Times New Roman"/>
          <w:sz w:val="28"/>
          <w:szCs w:val="28"/>
        </w:rPr>
      </w:pPr>
      <w:r>
        <w:rPr>
          <w:rFonts w:ascii="Times New Roman" w:hAnsi="Times New Roman"/>
          <w:sz w:val="28"/>
          <w:szCs w:val="28"/>
        </w:rPr>
        <w:t>Улучшение демографической ситуации – одна из целей государственной программы Камчатского края «Оказание содействия добровольному переселению в К</w:t>
      </w:r>
      <w:r>
        <w:rPr>
          <w:rFonts w:ascii="Times New Roman" w:hAnsi="Times New Roman"/>
          <w:sz w:val="28"/>
          <w:szCs w:val="28"/>
        </w:rPr>
        <w:t>амчатский край соотечественников, проживающих за рубежом». Численность участников государственной программы и членов их семей, переселившихся в Камчатский край в 2022 году составила 415 человек (150 участников Государственной программы и 265 членов их семе</w:t>
      </w:r>
      <w:r>
        <w:rPr>
          <w:rFonts w:ascii="Times New Roman" w:hAnsi="Times New Roman"/>
          <w:sz w:val="28"/>
          <w:szCs w:val="28"/>
        </w:rPr>
        <w:t>й) или 3,2% в миграционном приросте Камчатского края (в 2021 году численность участников государственной программы составила 300 человек).</w:t>
      </w:r>
    </w:p>
    <w:p w:rsidR="00583DA6" w:rsidRDefault="006A45D9">
      <w:pPr>
        <w:ind w:firstLine="709"/>
        <w:jc w:val="both"/>
        <w:rPr>
          <w:rFonts w:ascii="Times New Roman" w:hAnsi="Times New Roman"/>
          <w:sz w:val="28"/>
          <w:szCs w:val="28"/>
        </w:rPr>
      </w:pPr>
      <w:r>
        <w:rPr>
          <w:rFonts w:ascii="Times New Roman" w:hAnsi="Times New Roman"/>
          <w:sz w:val="28"/>
          <w:szCs w:val="28"/>
        </w:rPr>
        <w:t>По данным территориального органа Федеральной службы государственной статистики по Камчатскому краю ожидаемая продолж</w:t>
      </w:r>
      <w:r>
        <w:rPr>
          <w:rFonts w:ascii="Times New Roman" w:hAnsi="Times New Roman"/>
          <w:sz w:val="28"/>
          <w:szCs w:val="28"/>
        </w:rPr>
        <w:t>ительность жизни составила 68,83 года при плановом значении показателя 70,2.</w:t>
      </w:r>
    </w:p>
    <w:p w:rsidR="00583DA6" w:rsidRDefault="006A45D9">
      <w:pPr>
        <w:ind w:firstLine="709"/>
        <w:jc w:val="both"/>
        <w:rPr>
          <w:rFonts w:ascii="Times New Roman" w:hAnsi="Times New Roman"/>
          <w:sz w:val="28"/>
          <w:szCs w:val="28"/>
        </w:rPr>
      </w:pPr>
      <w:r>
        <w:rPr>
          <w:rFonts w:ascii="Times New Roman" w:hAnsi="Times New Roman"/>
          <w:sz w:val="28"/>
          <w:szCs w:val="28"/>
        </w:rPr>
        <w:t>В комплекс мер по увеличению продолжительности жизни и формированию здорового образа жизни у населения региона вошли такие направления, как популяризация культуры здорового питани</w:t>
      </w:r>
      <w:r>
        <w:rPr>
          <w:rFonts w:ascii="Times New Roman" w:hAnsi="Times New Roman"/>
          <w:sz w:val="28"/>
          <w:szCs w:val="28"/>
        </w:rPr>
        <w:t>я, спортивно-оздоровительные программы, профилактика алкоголизма и наркомании, противодействие потреблению табака. Мероприятия по указанным направлениям реализуются через привлечение к участию в организационном и образовательном процессах специалистов разл</w:t>
      </w:r>
      <w:r>
        <w:rPr>
          <w:rFonts w:ascii="Times New Roman" w:hAnsi="Times New Roman"/>
          <w:sz w:val="28"/>
          <w:szCs w:val="28"/>
        </w:rPr>
        <w:t xml:space="preserve">ичных сфер деятельности (медиков, психологов, преподавателей, и т.д.), представителей власти, бизнеса. </w:t>
      </w:r>
    </w:p>
    <w:p w:rsidR="00583DA6" w:rsidRDefault="006A45D9">
      <w:pPr>
        <w:ind w:firstLine="709"/>
        <w:jc w:val="both"/>
        <w:rPr>
          <w:rFonts w:ascii="Times New Roman" w:hAnsi="Times New Roman"/>
          <w:sz w:val="28"/>
          <w:szCs w:val="28"/>
        </w:rPr>
      </w:pPr>
      <w:r>
        <w:rPr>
          <w:rFonts w:ascii="Times New Roman" w:hAnsi="Times New Roman"/>
          <w:sz w:val="28"/>
          <w:szCs w:val="28"/>
        </w:rPr>
        <w:t>К освещению мероприятий по профилактике заболеваний и поддержке здорового образа жизни привлекаются средства массовой информации и пресс-службы федераль</w:t>
      </w:r>
      <w:r>
        <w:rPr>
          <w:rFonts w:ascii="Times New Roman" w:hAnsi="Times New Roman"/>
          <w:sz w:val="28"/>
          <w:szCs w:val="28"/>
        </w:rPr>
        <w:t>ных и региональных органов исполнительной власти. Информация о мероприятиях размещается на официальных сайтах ведомств и подведомственных организаций.</w:t>
      </w:r>
    </w:p>
    <w:p w:rsidR="00583DA6" w:rsidRDefault="006A45D9">
      <w:pPr>
        <w:ind w:firstLine="709"/>
        <w:jc w:val="both"/>
        <w:rPr>
          <w:rFonts w:ascii="Times New Roman" w:hAnsi="Times New Roman"/>
          <w:sz w:val="28"/>
          <w:szCs w:val="28"/>
        </w:rPr>
      </w:pPr>
      <w:r>
        <w:rPr>
          <w:rFonts w:ascii="Times New Roman" w:hAnsi="Times New Roman"/>
          <w:sz w:val="28"/>
          <w:szCs w:val="28"/>
        </w:rPr>
        <w:t>В 2022 году в Камчатском крае организована реализация Плана проведения региональных тематических мероприя</w:t>
      </w:r>
      <w:r>
        <w:rPr>
          <w:rFonts w:ascii="Times New Roman" w:hAnsi="Times New Roman"/>
          <w:sz w:val="28"/>
          <w:szCs w:val="28"/>
        </w:rPr>
        <w:t xml:space="preserve">тий по профилактике заболеваний и поддержке здорового образа жизни, разработанного Министерством здравоохранения Российской Федерации. </w:t>
      </w:r>
    </w:p>
    <w:p w:rsidR="00583DA6" w:rsidRDefault="006A45D9">
      <w:pPr>
        <w:ind w:firstLine="709"/>
        <w:jc w:val="both"/>
        <w:rPr>
          <w:rFonts w:ascii="Times New Roman" w:hAnsi="Times New Roman"/>
          <w:sz w:val="28"/>
          <w:szCs w:val="28"/>
        </w:rPr>
      </w:pPr>
      <w:r>
        <w:rPr>
          <w:rFonts w:ascii="Times New Roman" w:hAnsi="Times New Roman"/>
          <w:sz w:val="28"/>
          <w:szCs w:val="28"/>
        </w:rPr>
        <w:t>В рамках реализации федерального проекта «Формирования системы мотивации граждан к здоровому образу жизни, включая здоро</w:t>
      </w:r>
      <w:r>
        <w:rPr>
          <w:rFonts w:ascii="Times New Roman" w:hAnsi="Times New Roman"/>
          <w:sz w:val="28"/>
          <w:szCs w:val="28"/>
        </w:rPr>
        <w:t xml:space="preserve">вое питание и отказ от вредных привычек» разрабатываются муниципальные и корпоративные программы. В настоящее время внедрены муниципальные программы в 3 муниципалитетах и корпоративные программы в 3 крупных организациях. </w:t>
      </w:r>
    </w:p>
    <w:p w:rsidR="00583DA6" w:rsidRDefault="006A45D9">
      <w:pPr>
        <w:ind w:firstLine="709"/>
        <w:jc w:val="both"/>
        <w:rPr>
          <w:rFonts w:ascii="Times New Roman" w:hAnsi="Times New Roman"/>
          <w:sz w:val="28"/>
          <w:szCs w:val="28"/>
        </w:rPr>
      </w:pPr>
      <w:r>
        <w:rPr>
          <w:rFonts w:ascii="Times New Roman" w:hAnsi="Times New Roman"/>
          <w:sz w:val="28"/>
          <w:szCs w:val="28"/>
        </w:rPr>
        <w:t>В соответствии с ежегодными планам</w:t>
      </w:r>
      <w:r>
        <w:rPr>
          <w:rFonts w:ascii="Times New Roman" w:hAnsi="Times New Roman"/>
          <w:sz w:val="28"/>
          <w:szCs w:val="28"/>
        </w:rPr>
        <w:t>и работы в Камчатском крае проводятся события, определенные Всемирной организацией здравоохранения:</w:t>
      </w:r>
    </w:p>
    <w:p w:rsidR="00583DA6" w:rsidRDefault="006A45D9">
      <w:pPr>
        <w:ind w:firstLine="709"/>
        <w:jc w:val="both"/>
        <w:rPr>
          <w:rFonts w:ascii="Times New Roman" w:hAnsi="Times New Roman"/>
          <w:sz w:val="28"/>
          <w:szCs w:val="28"/>
        </w:rPr>
      </w:pPr>
      <w:r>
        <w:rPr>
          <w:rFonts w:ascii="Times New Roman" w:hAnsi="Times New Roman"/>
          <w:sz w:val="28"/>
          <w:szCs w:val="28"/>
        </w:rPr>
        <w:t>– «Всемирный день борьбы против рака» – 4 февраля;</w:t>
      </w:r>
    </w:p>
    <w:p w:rsidR="00583DA6" w:rsidRDefault="006A45D9">
      <w:pPr>
        <w:ind w:firstLine="709"/>
        <w:jc w:val="both"/>
        <w:rPr>
          <w:rFonts w:ascii="Times New Roman" w:hAnsi="Times New Roman"/>
          <w:sz w:val="28"/>
          <w:szCs w:val="28"/>
        </w:rPr>
      </w:pPr>
      <w:r>
        <w:rPr>
          <w:rFonts w:ascii="Times New Roman" w:hAnsi="Times New Roman"/>
          <w:sz w:val="28"/>
          <w:szCs w:val="28"/>
        </w:rPr>
        <w:t>– «Всемирный день борьбы с туберкулезом» – 24 марта;</w:t>
      </w:r>
    </w:p>
    <w:p w:rsidR="00583DA6" w:rsidRDefault="006A45D9">
      <w:pPr>
        <w:ind w:firstLine="709"/>
        <w:jc w:val="both"/>
        <w:rPr>
          <w:rFonts w:ascii="Times New Roman" w:hAnsi="Times New Roman"/>
          <w:sz w:val="28"/>
          <w:szCs w:val="28"/>
        </w:rPr>
      </w:pPr>
      <w:r>
        <w:rPr>
          <w:rFonts w:ascii="Times New Roman" w:hAnsi="Times New Roman"/>
          <w:sz w:val="28"/>
          <w:szCs w:val="28"/>
        </w:rPr>
        <w:t>– «Всемирный день здоровья» – 7 апреля;</w:t>
      </w:r>
    </w:p>
    <w:p w:rsidR="00583DA6" w:rsidRDefault="006A45D9">
      <w:pPr>
        <w:ind w:firstLine="709"/>
        <w:jc w:val="both"/>
        <w:rPr>
          <w:rFonts w:ascii="Times New Roman" w:hAnsi="Times New Roman"/>
          <w:sz w:val="28"/>
          <w:szCs w:val="28"/>
        </w:rPr>
      </w:pPr>
      <w:r>
        <w:rPr>
          <w:rFonts w:ascii="Times New Roman" w:hAnsi="Times New Roman"/>
          <w:sz w:val="28"/>
          <w:szCs w:val="28"/>
        </w:rPr>
        <w:t>– «Европейск</w:t>
      </w:r>
      <w:r>
        <w:rPr>
          <w:rFonts w:ascii="Times New Roman" w:hAnsi="Times New Roman"/>
          <w:sz w:val="28"/>
          <w:szCs w:val="28"/>
        </w:rPr>
        <w:t>ая неделя иммунизации» – с 27 апреля по 30 апреля;</w:t>
      </w:r>
    </w:p>
    <w:p w:rsidR="00583DA6" w:rsidRDefault="006A45D9">
      <w:pPr>
        <w:ind w:firstLine="709"/>
        <w:jc w:val="both"/>
        <w:rPr>
          <w:rFonts w:ascii="Times New Roman" w:hAnsi="Times New Roman"/>
          <w:sz w:val="28"/>
          <w:szCs w:val="28"/>
        </w:rPr>
      </w:pPr>
      <w:r>
        <w:rPr>
          <w:rFonts w:ascii="Times New Roman" w:hAnsi="Times New Roman"/>
          <w:sz w:val="28"/>
          <w:szCs w:val="28"/>
        </w:rPr>
        <w:t xml:space="preserve">– «Всемирный день без табака» – 31 мая; </w:t>
      </w:r>
    </w:p>
    <w:p w:rsidR="00583DA6" w:rsidRDefault="006A45D9">
      <w:pPr>
        <w:ind w:firstLine="709"/>
        <w:jc w:val="both"/>
        <w:rPr>
          <w:rFonts w:ascii="Times New Roman" w:hAnsi="Times New Roman"/>
          <w:sz w:val="28"/>
          <w:szCs w:val="28"/>
        </w:rPr>
      </w:pPr>
      <w:r>
        <w:rPr>
          <w:rFonts w:ascii="Times New Roman" w:hAnsi="Times New Roman"/>
          <w:sz w:val="28"/>
          <w:szCs w:val="28"/>
        </w:rPr>
        <w:t xml:space="preserve">– «Всемирный день сердца» – 28 сентября; </w:t>
      </w:r>
    </w:p>
    <w:p w:rsidR="00583DA6" w:rsidRDefault="006A45D9">
      <w:pPr>
        <w:ind w:firstLine="709"/>
        <w:jc w:val="both"/>
        <w:rPr>
          <w:rFonts w:ascii="Times New Roman" w:hAnsi="Times New Roman"/>
          <w:sz w:val="28"/>
          <w:szCs w:val="28"/>
        </w:rPr>
      </w:pPr>
      <w:r>
        <w:rPr>
          <w:rFonts w:ascii="Times New Roman" w:hAnsi="Times New Roman"/>
          <w:sz w:val="28"/>
          <w:szCs w:val="28"/>
        </w:rPr>
        <w:t>– «Всемирный день психического здоровья» – 10 октября;</w:t>
      </w:r>
    </w:p>
    <w:p w:rsidR="00583DA6" w:rsidRDefault="006A45D9">
      <w:pPr>
        <w:ind w:firstLine="709"/>
        <w:jc w:val="both"/>
        <w:rPr>
          <w:rFonts w:ascii="Times New Roman" w:hAnsi="Times New Roman"/>
          <w:sz w:val="28"/>
          <w:szCs w:val="28"/>
        </w:rPr>
      </w:pPr>
      <w:r>
        <w:rPr>
          <w:rFonts w:ascii="Times New Roman" w:hAnsi="Times New Roman"/>
          <w:sz w:val="28"/>
          <w:szCs w:val="28"/>
        </w:rPr>
        <w:t xml:space="preserve">– «Всемирный день борьбы со СПИДом» – 1 декабря. </w:t>
      </w:r>
    </w:p>
    <w:p w:rsidR="00583DA6" w:rsidRDefault="006A45D9">
      <w:pPr>
        <w:ind w:firstLine="709"/>
        <w:jc w:val="both"/>
        <w:rPr>
          <w:rFonts w:ascii="Times New Roman" w:hAnsi="Times New Roman"/>
          <w:sz w:val="28"/>
          <w:szCs w:val="28"/>
        </w:rPr>
      </w:pPr>
      <w:r>
        <w:rPr>
          <w:rFonts w:ascii="Times New Roman" w:hAnsi="Times New Roman"/>
          <w:sz w:val="28"/>
          <w:szCs w:val="28"/>
        </w:rPr>
        <w:t>В Камчатском крае</w:t>
      </w:r>
      <w:r>
        <w:rPr>
          <w:rFonts w:ascii="Times New Roman" w:hAnsi="Times New Roman"/>
          <w:sz w:val="28"/>
          <w:szCs w:val="28"/>
        </w:rPr>
        <w:t xml:space="preserve"> ежегодно проводятся массовые скрининговые акции, «Ярмарки здоровья», выставки на тему здравоохранения, основной целью которых является привлечение внимания населения к проблемам своего здоровья и повышение медицинской грамотности населения. Данные меропри</w:t>
      </w:r>
      <w:r>
        <w:rPr>
          <w:rFonts w:ascii="Times New Roman" w:hAnsi="Times New Roman"/>
          <w:sz w:val="28"/>
          <w:szCs w:val="28"/>
        </w:rPr>
        <w:t xml:space="preserve">ятия пользуются большой популярностью среди населения Камчатского края. В ходе выставок все желающие могут пройти обследование, получить квалифицированное заключение врачей специалистов. </w:t>
      </w:r>
    </w:p>
    <w:p w:rsidR="00583DA6" w:rsidRDefault="006A45D9">
      <w:pPr>
        <w:ind w:firstLine="709"/>
        <w:jc w:val="both"/>
        <w:rPr>
          <w:rFonts w:ascii="Times New Roman" w:hAnsi="Times New Roman"/>
          <w:sz w:val="28"/>
          <w:szCs w:val="28"/>
        </w:rPr>
      </w:pPr>
      <w:r>
        <w:rPr>
          <w:rFonts w:ascii="Times New Roman" w:hAnsi="Times New Roman"/>
          <w:sz w:val="28"/>
          <w:szCs w:val="28"/>
        </w:rPr>
        <w:t xml:space="preserve">В рамках проведения профилактической работы по формированию </w:t>
      </w:r>
      <w:r>
        <w:rPr>
          <w:rFonts w:ascii="Times New Roman" w:hAnsi="Times New Roman"/>
          <w:sz w:val="28"/>
          <w:szCs w:val="28"/>
        </w:rPr>
        <w:t>здорового образа жизни у населения края:</w:t>
      </w:r>
    </w:p>
    <w:p w:rsidR="00583DA6" w:rsidRDefault="006A45D9">
      <w:pPr>
        <w:ind w:firstLine="709"/>
        <w:jc w:val="both"/>
        <w:rPr>
          <w:rFonts w:ascii="Times New Roman" w:hAnsi="Times New Roman"/>
          <w:sz w:val="28"/>
          <w:szCs w:val="28"/>
        </w:rPr>
      </w:pPr>
      <w:r>
        <w:rPr>
          <w:rFonts w:ascii="Times New Roman" w:hAnsi="Times New Roman"/>
          <w:sz w:val="28"/>
          <w:szCs w:val="28"/>
        </w:rPr>
        <w:t>– специалистами психиатрами-наркологами на сайте http://kamknd.ru в режиме реального времени с помощью специального сервиса осуществляется анонимное консультирование граждан;</w:t>
      </w:r>
    </w:p>
    <w:p w:rsidR="00583DA6" w:rsidRDefault="006A45D9">
      <w:pPr>
        <w:ind w:firstLine="709"/>
        <w:jc w:val="both"/>
        <w:rPr>
          <w:rFonts w:ascii="Times New Roman" w:hAnsi="Times New Roman"/>
          <w:sz w:val="28"/>
          <w:szCs w:val="28"/>
        </w:rPr>
      </w:pPr>
      <w:r>
        <w:rPr>
          <w:rFonts w:ascii="Times New Roman" w:hAnsi="Times New Roman"/>
          <w:sz w:val="28"/>
          <w:szCs w:val="28"/>
        </w:rPr>
        <w:t xml:space="preserve">– сотрудниками наркологического </w:t>
      </w:r>
      <w:r>
        <w:rPr>
          <w:rFonts w:ascii="Times New Roman" w:hAnsi="Times New Roman"/>
          <w:sz w:val="28"/>
          <w:szCs w:val="28"/>
        </w:rPr>
        <w:t>диспансера проводится профилактическая работа с организованными коллективами предприятий, где имеется возможность широкого охвата сотрудников;</w:t>
      </w:r>
    </w:p>
    <w:p w:rsidR="00583DA6" w:rsidRDefault="006A45D9">
      <w:pPr>
        <w:ind w:firstLine="709"/>
        <w:jc w:val="both"/>
        <w:rPr>
          <w:rFonts w:ascii="Times New Roman" w:hAnsi="Times New Roman"/>
          <w:sz w:val="28"/>
          <w:szCs w:val="28"/>
        </w:rPr>
      </w:pPr>
      <w:r>
        <w:rPr>
          <w:rFonts w:ascii="Times New Roman" w:hAnsi="Times New Roman"/>
          <w:sz w:val="28"/>
          <w:szCs w:val="28"/>
        </w:rPr>
        <w:t>– организована работа по профилактике потребления алкоголя и табакокурения в организованных коллективах (школы, у</w:t>
      </w:r>
      <w:r>
        <w:rPr>
          <w:rFonts w:ascii="Times New Roman" w:hAnsi="Times New Roman"/>
          <w:sz w:val="28"/>
          <w:szCs w:val="28"/>
        </w:rPr>
        <w:t>чебные заведения);</w:t>
      </w:r>
    </w:p>
    <w:p w:rsidR="00583DA6" w:rsidRDefault="006A45D9">
      <w:pPr>
        <w:ind w:firstLine="709"/>
        <w:jc w:val="both"/>
        <w:rPr>
          <w:rFonts w:ascii="Times New Roman" w:hAnsi="Times New Roman"/>
          <w:sz w:val="28"/>
          <w:szCs w:val="28"/>
        </w:rPr>
      </w:pPr>
      <w:r>
        <w:rPr>
          <w:rFonts w:ascii="Times New Roman" w:hAnsi="Times New Roman"/>
          <w:sz w:val="28"/>
          <w:szCs w:val="28"/>
        </w:rPr>
        <w:t>– активно проводится психологическое тестирование на предмет раннего выявления потребления наркотиков и табакокурения среди молодежи.</w:t>
      </w:r>
    </w:p>
    <w:p w:rsidR="00583DA6" w:rsidRDefault="006A45D9">
      <w:pPr>
        <w:ind w:firstLine="709"/>
        <w:jc w:val="both"/>
        <w:rPr>
          <w:rFonts w:ascii="Times New Roman" w:hAnsi="Times New Roman"/>
          <w:sz w:val="28"/>
          <w:szCs w:val="28"/>
        </w:rPr>
      </w:pPr>
      <w:r>
        <w:rPr>
          <w:rFonts w:ascii="Times New Roman" w:hAnsi="Times New Roman"/>
          <w:sz w:val="28"/>
          <w:szCs w:val="28"/>
        </w:rPr>
        <w:t>Просветительская работа по пропаганде здорового питания и здорового образа жизни проводится также специ</w:t>
      </w:r>
      <w:r>
        <w:rPr>
          <w:rFonts w:ascii="Times New Roman" w:hAnsi="Times New Roman"/>
          <w:sz w:val="28"/>
          <w:szCs w:val="28"/>
        </w:rPr>
        <w:t>алистами Управления Роспотребнадзора по Камчатскому краю.</w:t>
      </w:r>
    </w:p>
    <w:p w:rsidR="00583DA6" w:rsidRDefault="006A45D9">
      <w:pPr>
        <w:ind w:firstLine="709"/>
        <w:jc w:val="both"/>
        <w:rPr>
          <w:rFonts w:ascii="Times New Roman" w:hAnsi="Times New Roman"/>
          <w:sz w:val="28"/>
          <w:szCs w:val="28"/>
        </w:rPr>
      </w:pPr>
      <w:r>
        <w:rPr>
          <w:rFonts w:ascii="Times New Roman" w:hAnsi="Times New Roman"/>
          <w:sz w:val="28"/>
          <w:szCs w:val="28"/>
        </w:rPr>
        <w:t>В работе использовались различные методы, среди которых: статьи в средствах массовой информации, размещение тематической информации на сайте Управления Роспотребнадзора по Камчатскому краю и ФБУЗ, и</w:t>
      </w:r>
      <w:r>
        <w:rPr>
          <w:rFonts w:ascii="Times New Roman" w:hAnsi="Times New Roman"/>
          <w:sz w:val="28"/>
          <w:szCs w:val="28"/>
        </w:rPr>
        <w:t>нформационные стенды, тематические памятки, проведение ежегодных календарных событий, определенных Всемирной организацией здравоохранения, демонстрация тематических фильмов.</w:t>
      </w:r>
    </w:p>
    <w:p w:rsidR="00583DA6" w:rsidRDefault="006A45D9">
      <w:pPr>
        <w:ind w:firstLine="709"/>
        <w:jc w:val="both"/>
        <w:rPr>
          <w:rFonts w:ascii="Times New Roman" w:hAnsi="Times New Roman"/>
          <w:sz w:val="28"/>
          <w:szCs w:val="28"/>
        </w:rPr>
      </w:pPr>
      <w:r>
        <w:rPr>
          <w:rFonts w:ascii="Times New Roman" w:hAnsi="Times New Roman"/>
          <w:sz w:val="28"/>
          <w:szCs w:val="28"/>
        </w:rPr>
        <w:t xml:space="preserve">Вопросы организации здорового питания и здорового образа жизни населения включены </w:t>
      </w:r>
      <w:r>
        <w:rPr>
          <w:rFonts w:ascii="Times New Roman" w:hAnsi="Times New Roman"/>
          <w:sz w:val="28"/>
          <w:szCs w:val="28"/>
        </w:rPr>
        <w:t xml:space="preserve">во все программы профессиональной гигиенической подготовки декретированных групп населения. </w:t>
      </w:r>
    </w:p>
    <w:p w:rsidR="00583DA6" w:rsidRDefault="006A45D9">
      <w:pPr>
        <w:ind w:firstLine="709"/>
        <w:jc w:val="both"/>
        <w:rPr>
          <w:rFonts w:ascii="Times New Roman" w:hAnsi="Times New Roman"/>
          <w:sz w:val="28"/>
          <w:szCs w:val="28"/>
        </w:rPr>
      </w:pPr>
      <w:r>
        <w:rPr>
          <w:rFonts w:ascii="Times New Roman" w:hAnsi="Times New Roman"/>
          <w:sz w:val="28"/>
          <w:szCs w:val="28"/>
        </w:rPr>
        <w:t>Информация о школах здоровья размещается на рекламных стендах в учреждениях здравоохранения. В школы здоровья население обращается как самостоятельно, так и по рек</w:t>
      </w:r>
      <w:r>
        <w:rPr>
          <w:rFonts w:ascii="Times New Roman" w:hAnsi="Times New Roman"/>
          <w:sz w:val="28"/>
          <w:szCs w:val="28"/>
        </w:rPr>
        <w:t xml:space="preserve">омендации и направлению медицинских работников по результатам диспансеризации и обследований в центрах здоровья. </w:t>
      </w:r>
    </w:p>
    <w:p w:rsidR="00583DA6" w:rsidRDefault="006A45D9">
      <w:pPr>
        <w:ind w:firstLine="709"/>
        <w:jc w:val="both"/>
        <w:rPr>
          <w:rFonts w:ascii="Times New Roman" w:hAnsi="Times New Roman"/>
          <w:sz w:val="28"/>
          <w:szCs w:val="28"/>
        </w:rPr>
      </w:pPr>
      <w:r>
        <w:rPr>
          <w:rFonts w:ascii="Times New Roman" w:hAnsi="Times New Roman"/>
          <w:sz w:val="28"/>
          <w:szCs w:val="28"/>
        </w:rPr>
        <w:t>Мероприятия, направленные на увеличение продолжительности жизни и формирование здорового образа жизни у населения региона, реализуются также в</w:t>
      </w:r>
      <w:r>
        <w:rPr>
          <w:rFonts w:ascii="Times New Roman" w:hAnsi="Times New Roman"/>
          <w:sz w:val="28"/>
          <w:szCs w:val="28"/>
        </w:rPr>
        <w:t xml:space="preserve"> рамках государственных программ Камчатского края: «Развитие образования в Камчатском крае»; «Развитие физической культуры и спорта в Камчатском крае»; «Безопасная Камчатка».</w:t>
      </w:r>
    </w:p>
    <w:p w:rsidR="00583DA6" w:rsidRDefault="006A45D9">
      <w:pPr>
        <w:ind w:firstLine="709"/>
        <w:jc w:val="both"/>
        <w:rPr>
          <w:rFonts w:ascii="Times New Roman" w:hAnsi="Times New Roman"/>
          <w:sz w:val="28"/>
          <w:szCs w:val="28"/>
        </w:rPr>
      </w:pPr>
      <w:r>
        <w:rPr>
          <w:rFonts w:ascii="Times New Roman" w:hAnsi="Times New Roman"/>
          <w:sz w:val="28"/>
          <w:szCs w:val="28"/>
        </w:rPr>
        <w:t>Вопросы организации здорового питания, отдыха и оздоровления детей обеспечивались</w:t>
      </w:r>
      <w:r>
        <w:rPr>
          <w:rFonts w:ascii="Times New Roman" w:hAnsi="Times New Roman"/>
          <w:sz w:val="28"/>
          <w:szCs w:val="28"/>
        </w:rPr>
        <w:t xml:space="preserve"> реализацией мероприятий государственной программы Камчатского края «Развитие образования в Камчатском крае». </w:t>
      </w:r>
    </w:p>
    <w:p w:rsidR="00583DA6" w:rsidRDefault="006A45D9">
      <w:pPr>
        <w:ind w:firstLine="709"/>
        <w:jc w:val="both"/>
        <w:rPr>
          <w:rFonts w:ascii="Times New Roman" w:hAnsi="Times New Roman"/>
          <w:sz w:val="28"/>
          <w:szCs w:val="28"/>
        </w:rPr>
      </w:pPr>
      <w:r>
        <w:rPr>
          <w:rFonts w:ascii="Times New Roman" w:hAnsi="Times New Roman"/>
          <w:sz w:val="28"/>
          <w:szCs w:val="28"/>
        </w:rPr>
        <w:t>Обеспечено бесплатное горячее питание обучающихся, получающих начальное общее образование в государственных образовательных организациях. Продолж</w:t>
      </w:r>
      <w:r>
        <w:rPr>
          <w:rFonts w:ascii="Times New Roman" w:hAnsi="Times New Roman"/>
          <w:sz w:val="28"/>
          <w:szCs w:val="28"/>
        </w:rPr>
        <w:t xml:space="preserve">ена работа по обновлению школьных пищеблоков. Всего модернизировано 38 столовых и пищеблоков (более 30,0% от пищеблоков образовательных организаций, реализующих программы начального общего образования). </w:t>
      </w:r>
    </w:p>
    <w:p w:rsidR="00583DA6" w:rsidRDefault="006A45D9">
      <w:pPr>
        <w:ind w:firstLine="709"/>
        <w:jc w:val="both"/>
        <w:rPr>
          <w:rFonts w:ascii="Times New Roman" w:hAnsi="Times New Roman"/>
          <w:sz w:val="28"/>
          <w:szCs w:val="28"/>
        </w:rPr>
      </w:pPr>
      <w:r>
        <w:rPr>
          <w:rFonts w:ascii="Times New Roman" w:hAnsi="Times New Roman"/>
          <w:sz w:val="28"/>
          <w:szCs w:val="28"/>
        </w:rPr>
        <w:t>В организации отдыха и оздоровления детей в 2022 год</w:t>
      </w:r>
      <w:r>
        <w:rPr>
          <w:rFonts w:ascii="Times New Roman" w:hAnsi="Times New Roman"/>
          <w:sz w:val="28"/>
          <w:szCs w:val="28"/>
        </w:rPr>
        <w:t>у участвовали 114 организаций. Различными формами организованного отдыха охвачено 20 378 детей (в 2021 – 12 381 ребенок), 43,6% от всех школьников Камчатского края, из них:</w:t>
      </w:r>
    </w:p>
    <w:p w:rsidR="00583DA6" w:rsidRDefault="006A45D9">
      <w:pPr>
        <w:ind w:firstLine="709"/>
        <w:jc w:val="both"/>
        <w:rPr>
          <w:rFonts w:ascii="Times New Roman" w:hAnsi="Times New Roman"/>
          <w:sz w:val="28"/>
          <w:szCs w:val="28"/>
        </w:rPr>
      </w:pPr>
      <w:r>
        <w:rPr>
          <w:rFonts w:ascii="Times New Roman" w:hAnsi="Times New Roman"/>
          <w:sz w:val="28"/>
          <w:szCs w:val="28"/>
        </w:rPr>
        <w:t>– 6 958 детей отдохнули в 5 загородных стационарных детских оздоровительных лагерях</w:t>
      </w:r>
      <w:r>
        <w:rPr>
          <w:rFonts w:ascii="Times New Roman" w:hAnsi="Times New Roman"/>
          <w:sz w:val="28"/>
          <w:szCs w:val="28"/>
        </w:rPr>
        <w:t>, расположенных на территории Камчатского края;</w:t>
      </w:r>
    </w:p>
    <w:p w:rsidR="00583DA6" w:rsidRDefault="006A45D9">
      <w:pPr>
        <w:ind w:firstLine="709"/>
        <w:jc w:val="both"/>
        <w:rPr>
          <w:rFonts w:ascii="Times New Roman" w:hAnsi="Times New Roman"/>
          <w:sz w:val="28"/>
          <w:szCs w:val="28"/>
        </w:rPr>
      </w:pPr>
      <w:r>
        <w:rPr>
          <w:rFonts w:ascii="Times New Roman" w:hAnsi="Times New Roman"/>
          <w:sz w:val="28"/>
          <w:szCs w:val="28"/>
        </w:rPr>
        <w:t>– 12 633 ребёнок – в 105 лагерях с дневным пребыванием, организованных на базе образовательных организаций и организаций социального обслуживания;</w:t>
      </w:r>
    </w:p>
    <w:p w:rsidR="00583DA6" w:rsidRDefault="006A45D9">
      <w:pPr>
        <w:ind w:firstLine="709"/>
        <w:jc w:val="both"/>
        <w:rPr>
          <w:rFonts w:ascii="Times New Roman" w:hAnsi="Times New Roman"/>
          <w:sz w:val="28"/>
          <w:szCs w:val="28"/>
        </w:rPr>
      </w:pPr>
      <w:r>
        <w:rPr>
          <w:rFonts w:ascii="Times New Roman" w:hAnsi="Times New Roman"/>
          <w:sz w:val="28"/>
          <w:szCs w:val="28"/>
        </w:rPr>
        <w:t>– 119 детей – в 3 палаточных лагерях;</w:t>
      </w:r>
    </w:p>
    <w:p w:rsidR="00583DA6" w:rsidRDefault="006A45D9">
      <w:pPr>
        <w:ind w:firstLine="709"/>
        <w:jc w:val="both"/>
        <w:rPr>
          <w:rFonts w:ascii="Times New Roman" w:hAnsi="Times New Roman"/>
          <w:sz w:val="28"/>
          <w:szCs w:val="28"/>
        </w:rPr>
      </w:pPr>
      <w:r>
        <w:rPr>
          <w:rFonts w:ascii="Times New Roman" w:hAnsi="Times New Roman"/>
          <w:sz w:val="28"/>
          <w:szCs w:val="28"/>
        </w:rPr>
        <w:t>– 40 детей – в 1 лагере</w:t>
      </w:r>
      <w:r>
        <w:rPr>
          <w:rFonts w:ascii="Times New Roman" w:hAnsi="Times New Roman"/>
          <w:sz w:val="28"/>
          <w:szCs w:val="28"/>
        </w:rPr>
        <w:t xml:space="preserve"> труда и отдыха;</w:t>
      </w:r>
    </w:p>
    <w:p w:rsidR="00583DA6" w:rsidRDefault="006A45D9">
      <w:pPr>
        <w:ind w:firstLine="709"/>
        <w:jc w:val="both"/>
        <w:rPr>
          <w:rFonts w:ascii="Times New Roman" w:hAnsi="Times New Roman"/>
          <w:sz w:val="28"/>
          <w:szCs w:val="28"/>
        </w:rPr>
      </w:pPr>
      <w:r>
        <w:rPr>
          <w:rFonts w:ascii="Times New Roman" w:hAnsi="Times New Roman"/>
          <w:sz w:val="28"/>
          <w:szCs w:val="28"/>
        </w:rPr>
        <w:t>– 628 детей – за пределами Камчатского края.</w:t>
      </w:r>
    </w:p>
    <w:p w:rsidR="00583DA6" w:rsidRDefault="006A45D9">
      <w:pPr>
        <w:ind w:firstLine="709"/>
        <w:jc w:val="both"/>
        <w:rPr>
          <w:rFonts w:ascii="Times New Roman" w:hAnsi="Times New Roman"/>
          <w:sz w:val="28"/>
          <w:szCs w:val="28"/>
        </w:rPr>
      </w:pPr>
      <w:r>
        <w:rPr>
          <w:rFonts w:ascii="Times New Roman" w:hAnsi="Times New Roman"/>
          <w:sz w:val="28"/>
          <w:szCs w:val="28"/>
        </w:rPr>
        <w:t>Реализация мероприятий государственной программы Камчатского края «Развитие физической культуры и спорта в Камчатском крае» способствует созданию условий для укрепления здоровья граждан, приобще</w:t>
      </w:r>
      <w:r>
        <w:rPr>
          <w:rFonts w:ascii="Times New Roman" w:hAnsi="Times New Roman"/>
          <w:sz w:val="28"/>
          <w:szCs w:val="28"/>
        </w:rPr>
        <w:t>ния населения к систематическим занятиям физической культурой и спортом, качественной подготовки спортивного резерва и спортсменов высшего класса. Основной целевой показатель, позволяющий охарактеризовать эффективность реализуемых в сфере физической культу</w:t>
      </w:r>
      <w:r>
        <w:rPr>
          <w:rFonts w:ascii="Times New Roman" w:hAnsi="Times New Roman"/>
          <w:sz w:val="28"/>
          <w:szCs w:val="28"/>
        </w:rPr>
        <w:t>ры и спорта мероприятий, – «Доля населения систематически занимающихся физической культурой и спортом в общей численности населения Камчатского края в возрасте 3 – 79 лет».  По итогам отчетного года показатель достигнут и составил 48,4% при плановом значен</w:t>
      </w:r>
      <w:r>
        <w:rPr>
          <w:rFonts w:ascii="Times New Roman" w:hAnsi="Times New Roman"/>
          <w:sz w:val="28"/>
          <w:szCs w:val="28"/>
        </w:rPr>
        <w:t xml:space="preserve">ии 46,9% и превысил значение 2021 года на 4,7% пункта. Возрос относительно уровня 2021 года (84,1%) и превысил плановое значение (83,9%) показатель «Уровень обеспеченности граждан спортивными сооружениями исходя из единовременной пропускной способности» – </w:t>
      </w:r>
      <w:r>
        <w:rPr>
          <w:rFonts w:ascii="Times New Roman" w:hAnsi="Times New Roman"/>
          <w:sz w:val="28"/>
          <w:szCs w:val="28"/>
        </w:rPr>
        <w:t xml:space="preserve">87%. </w:t>
      </w:r>
    </w:p>
    <w:p w:rsidR="00583DA6" w:rsidRDefault="006A45D9">
      <w:pPr>
        <w:ind w:firstLine="709"/>
        <w:jc w:val="both"/>
        <w:rPr>
          <w:rFonts w:ascii="Times New Roman" w:hAnsi="Times New Roman"/>
          <w:sz w:val="28"/>
          <w:szCs w:val="28"/>
        </w:rPr>
      </w:pPr>
      <w:r>
        <w:rPr>
          <w:rFonts w:ascii="Times New Roman" w:hAnsi="Times New Roman"/>
          <w:sz w:val="28"/>
          <w:szCs w:val="28"/>
        </w:rPr>
        <w:t>В рамках государственной программы Камчатского края «Безопасная Камчатка» проводится информационно-пропагандистская работа, направленная на формирование негативного отношения населения к потреблению наркотических средств, психотропных веществ и алког</w:t>
      </w:r>
      <w:r>
        <w:rPr>
          <w:rFonts w:ascii="Times New Roman" w:hAnsi="Times New Roman"/>
          <w:sz w:val="28"/>
          <w:szCs w:val="28"/>
        </w:rPr>
        <w:t>ольной продукции, а также на популяризацию здорового образа жизни.</w:t>
      </w:r>
    </w:p>
    <w:p w:rsidR="00583DA6" w:rsidRDefault="00583DA6">
      <w:pPr>
        <w:ind w:firstLine="709"/>
        <w:jc w:val="both"/>
        <w:rPr>
          <w:rFonts w:ascii="Times New Roman" w:hAnsi="Times New Roman"/>
          <w:sz w:val="28"/>
          <w:szCs w:val="28"/>
        </w:rPr>
      </w:pPr>
    </w:p>
    <w:p w:rsidR="00583DA6" w:rsidRDefault="006A45D9">
      <w:pPr>
        <w:pBdr>
          <w:top w:val="single" w:sz="18" w:space="1" w:color="000000"/>
        </w:pBdr>
        <w:ind w:firstLine="709"/>
        <w:jc w:val="both"/>
        <w:outlineLvl w:val="2"/>
        <w:rPr>
          <w:rFonts w:ascii="Times New Roman" w:hAnsi="Times New Roman"/>
          <w:b/>
          <w:sz w:val="28"/>
          <w:szCs w:val="28"/>
        </w:rPr>
      </w:pPr>
      <w:bookmarkStart w:id="4" w:name="_Toc132664194"/>
      <w:r>
        <w:rPr>
          <w:rFonts w:ascii="Times New Roman" w:hAnsi="Times New Roman"/>
          <w:b/>
          <w:sz w:val="28"/>
          <w:szCs w:val="28"/>
        </w:rPr>
        <w:t>Здравоохранение</w:t>
      </w:r>
      <w:bookmarkEnd w:id="4"/>
    </w:p>
    <w:p w:rsidR="00583DA6" w:rsidRDefault="00583DA6">
      <w:pPr>
        <w:ind w:firstLine="709"/>
        <w:jc w:val="both"/>
        <w:rPr>
          <w:rFonts w:ascii="Times New Roman" w:hAnsi="Times New Roman"/>
          <w:sz w:val="28"/>
          <w:szCs w:val="28"/>
        </w:rPr>
      </w:pPr>
    </w:p>
    <w:p w:rsidR="00583DA6" w:rsidRDefault="006A45D9">
      <w:pPr>
        <w:ind w:firstLine="709"/>
        <w:jc w:val="both"/>
        <w:rPr>
          <w:rFonts w:ascii="Times New Roman" w:hAnsi="Times New Roman"/>
          <w:sz w:val="28"/>
          <w:szCs w:val="28"/>
        </w:rPr>
      </w:pPr>
      <w:r>
        <w:rPr>
          <w:rFonts w:ascii="Times New Roman" w:hAnsi="Times New Roman"/>
          <w:sz w:val="28"/>
          <w:szCs w:val="28"/>
        </w:rPr>
        <w:t>В отчетном году Министерством здравоохранения Камчатского края продолжена реализация программы «Модернизация первичного звена здравоохранения Камчатского края», в рамках к</w:t>
      </w:r>
      <w:r>
        <w:rPr>
          <w:rFonts w:ascii="Times New Roman" w:hAnsi="Times New Roman"/>
          <w:sz w:val="28"/>
          <w:szCs w:val="28"/>
        </w:rPr>
        <w:t>оторой осуществляется новое строительство и реконструкция объектов здравоохранения. Проведен капитальный ремонт в 6 учреждениях здравоохранения, предусматривающий ремонты фасадов, внутренние общестроительные, электромонтажные, сантехнические работы, ремонт</w:t>
      </w:r>
      <w:r>
        <w:rPr>
          <w:rFonts w:ascii="Times New Roman" w:hAnsi="Times New Roman"/>
          <w:sz w:val="28"/>
          <w:szCs w:val="28"/>
        </w:rPr>
        <w:t>ы помещений, внутренних инженерных сетей, системы пожарной сигнализации и оповещения о пожаре и другие, в медицинские учреждения поставлено 90 единиц медицинского оборудования.</w:t>
      </w:r>
    </w:p>
    <w:p w:rsidR="00583DA6" w:rsidRDefault="006A45D9">
      <w:pPr>
        <w:ind w:firstLine="709"/>
        <w:jc w:val="both"/>
        <w:rPr>
          <w:rFonts w:ascii="Times New Roman" w:hAnsi="Times New Roman"/>
          <w:sz w:val="28"/>
          <w:szCs w:val="28"/>
        </w:rPr>
      </w:pPr>
      <w:r>
        <w:rPr>
          <w:rFonts w:ascii="Times New Roman" w:hAnsi="Times New Roman"/>
          <w:sz w:val="28"/>
          <w:szCs w:val="28"/>
        </w:rPr>
        <w:t xml:space="preserve">В соответствии с Указом Президента Российской Федерации от 07.05.2012 № 597 «О </w:t>
      </w:r>
      <w:r>
        <w:rPr>
          <w:rFonts w:ascii="Times New Roman" w:hAnsi="Times New Roman"/>
          <w:sz w:val="28"/>
          <w:szCs w:val="28"/>
        </w:rPr>
        <w:t>мероприятиях по реализации государственной социальной политики» обеспечен рост и достигнуты целевые показатели по уровню заработной платы медицинских работников:</w:t>
      </w:r>
    </w:p>
    <w:p w:rsidR="00583DA6" w:rsidRDefault="006A45D9">
      <w:pPr>
        <w:ind w:firstLine="709"/>
        <w:jc w:val="both"/>
        <w:rPr>
          <w:rFonts w:ascii="Times New Roman" w:hAnsi="Times New Roman"/>
          <w:sz w:val="28"/>
          <w:szCs w:val="28"/>
        </w:rPr>
      </w:pPr>
      <w:r>
        <w:rPr>
          <w:rFonts w:ascii="Times New Roman" w:hAnsi="Times New Roman"/>
          <w:sz w:val="28"/>
          <w:szCs w:val="28"/>
        </w:rPr>
        <w:t xml:space="preserve">– врачей и работников медицинских организаций, имеющих высшее профессиональное образование, в </w:t>
      </w:r>
      <w:r>
        <w:rPr>
          <w:rFonts w:ascii="Times New Roman" w:hAnsi="Times New Roman"/>
          <w:sz w:val="28"/>
          <w:szCs w:val="28"/>
        </w:rPr>
        <w:t xml:space="preserve">2022 году к предыдущему году увеличился на 3,9 % и составил 204,7 % к средней по региону (2021 год – 162,7 тыс. руб., 2022 год – 172,1 тыс. руб.); </w:t>
      </w:r>
    </w:p>
    <w:p w:rsidR="00583DA6" w:rsidRDefault="006A45D9">
      <w:pPr>
        <w:ind w:firstLine="709"/>
        <w:jc w:val="both"/>
        <w:rPr>
          <w:rFonts w:ascii="Times New Roman" w:hAnsi="Times New Roman"/>
          <w:sz w:val="28"/>
          <w:szCs w:val="28"/>
        </w:rPr>
      </w:pPr>
      <w:r>
        <w:rPr>
          <w:rFonts w:ascii="Times New Roman" w:hAnsi="Times New Roman"/>
          <w:sz w:val="28"/>
          <w:szCs w:val="28"/>
        </w:rPr>
        <w:t xml:space="preserve">– среднего медицинского персонала в 2022 году в сравнении с 2021 годом увеличился на 4,9 % и составил 109,1 </w:t>
      </w:r>
      <w:r>
        <w:rPr>
          <w:rFonts w:ascii="Times New Roman" w:hAnsi="Times New Roman"/>
          <w:sz w:val="28"/>
          <w:szCs w:val="28"/>
        </w:rPr>
        <w:t>% к средней по региону (2021 год – 87,4 тыс. руб., 2022 год – 91,7 тыс. руб.);</w:t>
      </w:r>
    </w:p>
    <w:p w:rsidR="00583DA6" w:rsidRDefault="006A45D9">
      <w:pPr>
        <w:ind w:firstLine="709"/>
        <w:jc w:val="both"/>
        <w:rPr>
          <w:rFonts w:ascii="Times New Roman" w:hAnsi="Times New Roman"/>
          <w:sz w:val="28"/>
          <w:szCs w:val="28"/>
        </w:rPr>
      </w:pPr>
      <w:r>
        <w:rPr>
          <w:rFonts w:ascii="Times New Roman" w:hAnsi="Times New Roman"/>
          <w:sz w:val="28"/>
          <w:szCs w:val="28"/>
        </w:rPr>
        <w:t xml:space="preserve">– младшего медицинского персонала в 2022 году в сравнении с 2021 годом увеличился на 6,5 % и составил 97,2 % к средней по региону (2021 год – 76,7 тыс. руб., 2022 год – 81,7 </w:t>
      </w:r>
      <w:r>
        <w:rPr>
          <w:rFonts w:ascii="Times New Roman" w:hAnsi="Times New Roman"/>
          <w:sz w:val="28"/>
          <w:szCs w:val="28"/>
        </w:rPr>
        <w:t>тыс. руб.) при плановом значении показателя 100%.</w:t>
      </w:r>
    </w:p>
    <w:p w:rsidR="00583DA6" w:rsidRDefault="006A45D9">
      <w:pPr>
        <w:ind w:firstLine="709"/>
        <w:jc w:val="both"/>
        <w:rPr>
          <w:rFonts w:ascii="Times New Roman" w:hAnsi="Times New Roman"/>
          <w:sz w:val="28"/>
          <w:szCs w:val="28"/>
        </w:rPr>
      </w:pPr>
      <w:r>
        <w:rPr>
          <w:rFonts w:ascii="Times New Roman" w:hAnsi="Times New Roman"/>
          <w:sz w:val="28"/>
          <w:szCs w:val="28"/>
        </w:rPr>
        <w:t>Принимаемые меры, направленные на реализацию кадровой политики в сфере здравоохранения, позволили привлечь в 2022 году из других регионов в Камчатский край 181 медицинского работника, в том числе 117 врачей</w:t>
      </w:r>
      <w:r>
        <w:rPr>
          <w:rFonts w:ascii="Times New Roman" w:hAnsi="Times New Roman"/>
          <w:sz w:val="28"/>
          <w:szCs w:val="28"/>
        </w:rPr>
        <w:t xml:space="preserve"> и 64 специалиста среднего звена (в 2021 году в Камчатский край привлечено 134 медицинских работника, в том числе 93 врача и 41 специалиста со средним медицинским образованием). Уровень обеспеченности врачами (на 10 тыс. человек) составил 44% (плановое зна</w:t>
      </w:r>
      <w:r>
        <w:rPr>
          <w:rFonts w:ascii="Times New Roman" w:hAnsi="Times New Roman"/>
          <w:sz w:val="28"/>
          <w:szCs w:val="28"/>
        </w:rPr>
        <w:t>чение показателя 52,7%).</w:t>
      </w:r>
    </w:p>
    <w:p w:rsidR="00583DA6" w:rsidRDefault="006A45D9">
      <w:pPr>
        <w:ind w:firstLine="709"/>
        <w:jc w:val="both"/>
        <w:rPr>
          <w:rFonts w:ascii="Times New Roman" w:hAnsi="Times New Roman"/>
          <w:sz w:val="28"/>
          <w:szCs w:val="28"/>
        </w:rPr>
      </w:pPr>
      <w:r>
        <w:rPr>
          <w:rFonts w:ascii="Times New Roman" w:hAnsi="Times New Roman"/>
          <w:sz w:val="28"/>
          <w:szCs w:val="28"/>
        </w:rPr>
        <w:t>Камчатский край подключен к защищенной сети передачи данных Министерства здравоохранения Российской Федерации. Соглашения о защищенном информационном взаимодействии заключены со всеми подведомственными медицинскими учреждениями кра</w:t>
      </w:r>
      <w:r>
        <w:rPr>
          <w:rFonts w:ascii="Times New Roman" w:hAnsi="Times New Roman"/>
          <w:sz w:val="28"/>
          <w:szCs w:val="28"/>
        </w:rPr>
        <w:t>я.</w:t>
      </w:r>
    </w:p>
    <w:p w:rsidR="00583DA6" w:rsidRDefault="006A45D9">
      <w:pPr>
        <w:ind w:firstLine="709"/>
        <w:jc w:val="both"/>
        <w:rPr>
          <w:rFonts w:ascii="Times New Roman" w:hAnsi="Times New Roman"/>
          <w:sz w:val="28"/>
          <w:szCs w:val="28"/>
        </w:rPr>
      </w:pPr>
      <w:r>
        <w:rPr>
          <w:rFonts w:ascii="Times New Roman" w:hAnsi="Times New Roman"/>
          <w:sz w:val="28"/>
          <w:szCs w:val="28"/>
        </w:rPr>
        <w:t xml:space="preserve">На едином портале государственных услуг расширен список врачей-специалистов, к которым доступна запись на прием к врачу (кабинет доврачебной помощи, врач-терапевт, врач-педиатр, врач-гинеколог, врач-невролог, врач-хирург, врач стоматолог-терапевт, врач </w:t>
      </w:r>
      <w:r>
        <w:rPr>
          <w:rFonts w:ascii="Times New Roman" w:hAnsi="Times New Roman"/>
          <w:sz w:val="28"/>
          <w:szCs w:val="28"/>
        </w:rPr>
        <w:t xml:space="preserve">стоматолог-хирург). </w:t>
      </w:r>
    </w:p>
    <w:p w:rsidR="00583DA6" w:rsidRDefault="006A45D9">
      <w:pPr>
        <w:ind w:firstLine="709"/>
        <w:jc w:val="both"/>
        <w:rPr>
          <w:rFonts w:ascii="Times New Roman" w:hAnsi="Times New Roman"/>
          <w:sz w:val="28"/>
          <w:szCs w:val="28"/>
        </w:rPr>
      </w:pPr>
      <w:r>
        <w:rPr>
          <w:rFonts w:ascii="Times New Roman" w:hAnsi="Times New Roman"/>
          <w:sz w:val="28"/>
          <w:szCs w:val="28"/>
        </w:rPr>
        <w:t>В 2022 году число граждан, воспользовавшихся услугами (сервисами) в Личном кабинете пациента «Мое здоровье» на Едином портале государственных услуг и функций – 105,3 тыс. чел., исполнение составило 113%.</w:t>
      </w:r>
    </w:p>
    <w:p w:rsidR="00583DA6" w:rsidRDefault="006A45D9">
      <w:pPr>
        <w:ind w:firstLine="709"/>
        <w:jc w:val="both"/>
        <w:rPr>
          <w:rFonts w:ascii="Times New Roman" w:hAnsi="Times New Roman"/>
          <w:sz w:val="28"/>
          <w:szCs w:val="28"/>
        </w:rPr>
      </w:pPr>
      <w:r>
        <w:rPr>
          <w:rFonts w:ascii="Times New Roman" w:hAnsi="Times New Roman"/>
          <w:sz w:val="28"/>
          <w:szCs w:val="28"/>
        </w:rPr>
        <w:t>В отчетном году была продолжена</w:t>
      </w:r>
      <w:r>
        <w:rPr>
          <w:rFonts w:ascii="Times New Roman" w:hAnsi="Times New Roman"/>
          <w:sz w:val="28"/>
          <w:szCs w:val="28"/>
        </w:rPr>
        <w:t xml:space="preserve"> работа по оказанию консультативной медицинской помощи методом «выездных бригад» в рамках реализации Постановления Правительства Камчатского края от 07.04.2008 № 85-П «Об организации предоставления государственных услуг и государственных функций методом «в</w:t>
      </w:r>
      <w:r>
        <w:rPr>
          <w:rFonts w:ascii="Times New Roman" w:hAnsi="Times New Roman"/>
          <w:sz w:val="28"/>
          <w:szCs w:val="28"/>
        </w:rPr>
        <w:t>ыездных бригад», в работе которых участвовали врачи-специалисты: терапевт, педиатр, акушер - гинеколог, хирург, фтизиатр, офтальмолог, оториноларинголог, невролог, психиатр, психиатр-нарколог, врач ультразвуковой диагностики, рентгенолог, специалисты клини</w:t>
      </w:r>
      <w:r>
        <w:rPr>
          <w:rFonts w:ascii="Times New Roman" w:hAnsi="Times New Roman"/>
          <w:sz w:val="28"/>
          <w:szCs w:val="28"/>
        </w:rPr>
        <w:t xml:space="preserve">ко-диагностических лабораторий. </w:t>
      </w:r>
    </w:p>
    <w:p w:rsidR="00583DA6" w:rsidRDefault="006A45D9">
      <w:pPr>
        <w:ind w:firstLine="709"/>
        <w:jc w:val="both"/>
        <w:rPr>
          <w:rFonts w:ascii="Times New Roman" w:hAnsi="Times New Roman"/>
          <w:sz w:val="28"/>
          <w:szCs w:val="28"/>
        </w:rPr>
      </w:pPr>
      <w:r>
        <w:rPr>
          <w:rFonts w:ascii="Times New Roman" w:hAnsi="Times New Roman"/>
          <w:sz w:val="28"/>
          <w:szCs w:val="28"/>
        </w:rPr>
        <w:t>С целью оказания консультативной и лечебно-диагностической помощи населению отдаленных и труднодоступных районов Камчатского края методом «выездных бригад» было осуществлено 4 выезда в 5 районов. Проведено 26 979 осмотров (</w:t>
      </w:r>
      <w:r>
        <w:rPr>
          <w:rFonts w:ascii="Times New Roman" w:hAnsi="Times New Roman"/>
          <w:sz w:val="28"/>
          <w:szCs w:val="28"/>
        </w:rPr>
        <w:t>2021 год – 18 814), в том числе детей и подростков – 5 499 (2021 год – 4348). Выполнено 3 855 обследований. Выявлено 5 620 случаев патологии.</w:t>
      </w:r>
    </w:p>
    <w:p w:rsidR="00583DA6" w:rsidRDefault="006A45D9">
      <w:pPr>
        <w:ind w:firstLine="709"/>
        <w:jc w:val="both"/>
        <w:rPr>
          <w:rFonts w:ascii="Times New Roman" w:hAnsi="Times New Roman"/>
          <w:sz w:val="28"/>
          <w:szCs w:val="28"/>
        </w:rPr>
      </w:pPr>
      <w:r>
        <w:rPr>
          <w:rFonts w:ascii="Times New Roman" w:hAnsi="Times New Roman"/>
          <w:sz w:val="28"/>
          <w:szCs w:val="28"/>
        </w:rPr>
        <w:t>Региональный проект «Обеспечение медицинских организаций системы здравоохранения квалифицированными кадрами» преду</w:t>
      </w:r>
      <w:r>
        <w:rPr>
          <w:rFonts w:ascii="Times New Roman" w:hAnsi="Times New Roman"/>
          <w:sz w:val="28"/>
          <w:szCs w:val="28"/>
        </w:rPr>
        <w:t xml:space="preserve">сматривает социальные выплаты и выплаты компенсационного характера студентам образовательных учреждений, студентам медицинских государственных образовательных учреждений, врачам-интернам, врачам-клиническим ординаторам. </w:t>
      </w:r>
    </w:p>
    <w:p w:rsidR="00583DA6" w:rsidRDefault="006A45D9">
      <w:pPr>
        <w:ind w:firstLine="709"/>
        <w:jc w:val="both"/>
        <w:rPr>
          <w:rFonts w:ascii="Times New Roman" w:hAnsi="Times New Roman"/>
          <w:sz w:val="28"/>
          <w:szCs w:val="28"/>
        </w:rPr>
      </w:pPr>
      <w:r>
        <w:rPr>
          <w:rFonts w:ascii="Times New Roman" w:hAnsi="Times New Roman"/>
          <w:sz w:val="28"/>
          <w:szCs w:val="28"/>
        </w:rPr>
        <w:t>В отчетном году приобретено 6 кварт</w:t>
      </w:r>
      <w:r>
        <w:rPr>
          <w:rFonts w:ascii="Times New Roman" w:hAnsi="Times New Roman"/>
          <w:sz w:val="28"/>
          <w:szCs w:val="28"/>
        </w:rPr>
        <w:t xml:space="preserve">ир (2021 год – 9) в целях обеспечения служебными жилыми помещениями медицинских работников здравоохранения Камчатского края. </w:t>
      </w:r>
    </w:p>
    <w:p w:rsidR="00583DA6" w:rsidRDefault="006A45D9">
      <w:pPr>
        <w:ind w:firstLine="709"/>
        <w:jc w:val="both"/>
        <w:rPr>
          <w:rFonts w:ascii="Times New Roman" w:hAnsi="Times New Roman"/>
          <w:sz w:val="28"/>
          <w:szCs w:val="28"/>
        </w:rPr>
      </w:pPr>
      <w:r>
        <w:rPr>
          <w:rFonts w:ascii="Times New Roman" w:hAnsi="Times New Roman"/>
          <w:sz w:val="28"/>
          <w:szCs w:val="28"/>
        </w:rPr>
        <w:t>В течение года в амбулаторных подразделениях государственных учреждений здравоохранения продолжена реализация приоритетного проект</w:t>
      </w:r>
      <w:r>
        <w:rPr>
          <w:rFonts w:ascii="Times New Roman" w:hAnsi="Times New Roman"/>
          <w:sz w:val="28"/>
          <w:szCs w:val="28"/>
        </w:rPr>
        <w:t>а «Бережливая поликлиника». Цель проекта – повышение доступности и качества медицинской помощи населению за счет оптимизации процессов и устранения временных потерь ожидания оказания медицинской помощи. В Камчатском крае на базе ГБУЗ «Камчатский краевой це</w:t>
      </w:r>
      <w:r>
        <w:rPr>
          <w:rFonts w:ascii="Times New Roman" w:hAnsi="Times New Roman"/>
          <w:sz w:val="28"/>
          <w:szCs w:val="28"/>
        </w:rPr>
        <w:t>нтр общественного здоровья и медицинской профилактики» организован и функционирует «Центр первичной медико-санитарной помощи», в функции которого входит организационно-методическое сопровождение и непосредственный контроль за внедрением в учреждениях здрав</w:t>
      </w:r>
      <w:r>
        <w:rPr>
          <w:rFonts w:ascii="Times New Roman" w:hAnsi="Times New Roman"/>
          <w:sz w:val="28"/>
          <w:szCs w:val="28"/>
        </w:rPr>
        <w:t>оохранения Камчатского края новой модели медицинской организации, оказывающей первичную медико-санитарную помощь.</w:t>
      </w:r>
    </w:p>
    <w:p w:rsidR="00583DA6" w:rsidRDefault="00583DA6">
      <w:pPr>
        <w:ind w:firstLine="709"/>
        <w:jc w:val="both"/>
        <w:rPr>
          <w:rFonts w:ascii="Times New Roman" w:hAnsi="Times New Roman"/>
          <w:sz w:val="28"/>
          <w:szCs w:val="28"/>
        </w:rPr>
      </w:pPr>
    </w:p>
    <w:p w:rsidR="00583DA6" w:rsidRDefault="006A45D9">
      <w:pPr>
        <w:pBdr>
          <w:top w:val="single" w:sz="18" w:space="1" w:color="000000"/>
        </w:pBdr>
        <w:ind w:firstLine="709"/>
        <w:jc w:val="both"/>
        <w:outlineLvl w:val="2"/>
        <w:rPr>
          <w:rFonts w:ascii="Times New Roman" w:eastAsia="Times New Roman" w:hAnsi="Times New Roman"/>
          <w:b/>
          <w:sz w:val="28"/>
          <w:szCs w:val="28"/>
          <w:lang w:eastAsia="ru-RU"/>
        </w:rPr>
      </w:pPr>
      <w:bookmarkStart w:id="5" w:name="_Toc132664195"/>
      <w:r>
        <w:rPr>
          <w:rFonts w:ascii="Times New Roman" w:eastAsia="Times New Roman" w:hAnsi="Times New Roman"/>
          <w:b/>
          <w:sz w:val="28"/>
          <w:szCs w:val="28"/>
          <w:lang w:eastAsia="ru-RU"/>
        </w:rPr>
        <w:t>Образование</w:t>
      </w:r>
      <w:bookmarkEnd w:id="5"/>
    </w:p>
    <w:p w:rsidR="00583DA6" w:rsidRDefault="00583DA6">
      <w:pPr>
        <w:ind w:firstLine="709"/>
        <w:jc w:val="both"/>
      </w:pPr>
    </w:p>
    <w:p w:rsidR="00583DA6" w:rsidRDefault="006A45D9">
      <w:pPr>
        <w:ind w:firstLine="709"/>
        <w:jc w:val="both"/>
        <w:rPr>
          <w:rFonts w:ascii="Times New Roman" w:hAnsi="Times New Roman"/>
          <w:sz w:val="28"/>
          <w:szCs w:val="28"/>
        </w:rPr>
      </w:pPr>
      <w:r>
        <w:rPr>
          <w:rFonts w:ascii="Times New Roman" w:hAnsi="Times New Roman"/>
          <w:sz w:val="28"/>
          <w:szCs w:val="28"/>
        </w:rPr>
        <w:t xml:space="preserve">Повышение доступности, эффективности и качества образования – одно из базовых направлений реализации региональной политики в </w:t>
      </w:r>
      <w:r>
        <w:rPr>
          <w:rFonts w:ascii="Times New Roman" w:hAnsi="Times New Roman"/>
          <w:sz w:val="28"/>
          <w:szCs w:val="28"/>
        </w:rPr>
        <w:t>сфере образования.</w:t>
      </w:r>
    </w:p>
    <w:p w:rsidR="00583DA6" w:rsidRDefault="006A45D9">
      <w:pPr>
        <w:ind w:firstLine="709"/>
        <w:jc w:val="both"/>
        <w:rPr>
          <w:rFonts w:ascii="Times New Roman" w:hAnsi="Times New Roman"/>
          <w:sz w:val="28"/>
          <w:szCs w:val="28"/>
        </w:rPr>
      </w:pPr>
      <w:r>
        <w:rPr>
          <w:rFonts w:ascii="Times New Roman" w:hAnsi="Times New Roman"/>
          <w:sz w:val="28"/>
          <w:szCs w:val="28"/>
        </w:rPr>
        <w:t>В общем образовании, включающем уровень дошкольного образования, в рамках государственной программы Камчатского края «Развитие образования в Камчатском крае» в 2022 году достигнуты следующие результаты по приоритетным в региональной обра</w:t>
      </w:r>
      <w:r>
        <w:rPr>
          <w:rFonts w:ascii="Times New Roman" w:hAnsi="Times New Roman"/>
          <w:sz w:val="28"/>
          <w:szCs w:val="28"/>
        </w:rPr>
        <w:t>зовательной политике Камчатского края направлениям:</w:t>
      </w:r>
    </w:p>
    <w:p w:rsidR="00583DA6" w:rsidRDefault="006A45D9">
      <w:pPr>
        <w:ind w:firstLine="709"/>
        <w:jc w:val="both"/>
        <w:rPr>
          <w:rFonts w:ascii="Times New Roman" w:hAnsi="Times New Roman"/>
          <w:sz w:val="28"/>
          <w:szCs w:val="28"/>
        </w:rPr>
      </w:pPr>
      <w:r>
        <w:rPr>
          <w:rFonts w:ascii="Times New Roman" w:hAnsi="Times New Roman"/>
          <w:sz w:val="28"/>
          <w:szCs w:val="28"/>
        </w:rPr>
        <w:t>– сохранена 100 процентная доступность дошкольного образования для детей в возрасте от 3 до 7 лет, продолжена работа по обеспечению местами в дошкольных образовательных организациях детей до 3 лет через с</w:t>
      </w:r>
      <w:r>
        <w:rPr>
          <w:rFonts w:ascii="Times New Roman" w:hAnsi="Times New Roman"/>
          <w:sz w:val="28"/>
          <w:szCs w:val="28"/>
        </w:rPr>
        <w:t>троительство детских садов, поддержку негосударственного сектора (в 2022 году в регионе завершено строительство детского сада в жилом районе Рыбачий г. Вилючинска, мощностью 260 мест, в рамках поддержки негосударственного сектора в сфере дошкольного образо</w:t>
      </w:r>
      <w:r>
        <w:rPr>
          <w:rFonts w:ascii="Times New Roman" w:hAnsi="Times New Roman"/>
          <w:sz w:val="28"/>
          <w:szCs w:val="28"/>
        </w:rPr>
        <w:t>вания в 2022 году создано 20 дополнительных мест для детей раннего возраста);</w:t>
      </w:r>
    </w:p>
    <w:p w:rsidR="00583DA6" w:rsidRDefault="006A45D9">
      <w:pPr>
        <w:ind w:firstLine="709"/>
        <w:jc w:val="both"/>
        <w:rPr>
          <w:rFonts w:ascii="Times New Roman" w:hAnsi="Times New Roman"/>
          <w:sz w:val="28"/>
          <w:szCs w:val="28"/>
        </w:rPr>
      </w:pPr>
      <w:r>
        <w:rPr>
          <w:rFonts w:ascii="Times New Roman" w:hAnsi="Times New Roman"/>
          <w:sz w:val="28"/>
          <w:szCs w:val="28"/>
        </w:rPr>
        <w:t>– обеспечен федеральный государственный образовательный стандарт (ФГОС) среднего общего образования во всех общеобразовательных организациях (в 2022 году 100% школьников обучаютс</w:t>
      </w:r>
      <w:r>
        <w:rPr>
          <w:rFonts w:ascii="Times New Roman" w:hAnsi="Times New Roman"/>
          <w:sz w:val="28"/>
          <w:szCs w:val="28"/>
        </w:rPr>
        <w:t>я по ФГОС);</w:t>
      </w:r>
    </w:p>
    <w:p w:rsidR="00583DA6" w:rsidRDefault="006A45D9">
      <w:pPr>
        <w:ind w:firstLine="709"/>
        <w:jc w:val="both"/>
        <w:rPr>
          <w:rFonts w:ascii="Times New Roman" w:hAnsi="Times New Roman"/>
          <w:sz w:val="28"/>
          <w:szCs w:val="28"/>
        </w:rPr>
      </w:pPr>
      <w:r>
        <w:rPr>
          <w:rFonts w:ascii="Times New Roman" w:hAnsi="Times New Roman"/>
          <w:sz w:val="28"/>
          <w:szCs w:val="28"/>
        </w:rPr>
        <w:t>– охват детей возрасте от 5 до 18 лет, обучающихся по дополнительным образовательным программам, составил 81,4% (2021 год – 73,3%).</w:t>
      </w:r>
    </w:p>
    <w:p w:rsidR="00583DA6" w:rsidRDefault="006A45D9">
      <w:pPr>
        <w:ind w:firstLine="709"/>
        <w:jc w:val="both"/>
        <w:rPr>
          <w:rFonts w:ascii="Times New Roman" w:hAnsi="Times New Roman"/>
          <w:sz w:val="28"/>
          <w:szCs w:val="28"/>
        </w:rPr>
      </w:pPr>
      <w:r>
        <w:rPr>
          <w:rFonts w:ascii="Times New Roman" w:hAnsi="Times New Roman"/>
          <w:sz w:val="28"/>
          <w:szCs w:val="28"/>
        </w:rPr>
        <w:t>В 2022 году на территории Камчатского края открылось 10 центров «Точка роста» в общеобразовательных организациях</w:t>
      </w:r>
      <w:r>
        <w:rPr>
          <w:rFonts w:ascii="Times New Roman" w:hAnsi="Times New Roman"/>
          <w:sz w:val="28"/>
          <w:szCs w:val="28"/>
        </w:rPr>
        <w:t>, расположенных в сельской местности, и теперь на территории региона их уже 37 в 13 муниципальных образованиях: 17 центров цифрового и гуманитарного профилей и 20 – естественнонаучного и технологического профилей, с общим охватом детей – 8 682 человек. Цен</w:t>
      </w:r>
      <w:r>
        <w:rPr>
          <w:rFonts w:ascii="Times New Roman" w:hAnsi="Times New Roman"/>
          <w:sz w:val="28"/>
          <w:szCs w:val="28"/>
        </w:rPr>
        <w:t>тры создаются в сельской местности и малых городах в целях обеспечения равного доступа детей к качественному освоению основных и дополнительных общеобразовательных программ, расширения возможностей обучающихся в развитии творческой и социально-ориентирован</w:t>
      </w:r>
      <w:r>
        <w:rPr>
          <w:rFonts w:ascii="Times New Roman" w:hAnsi="Times New Roman"/>
          <w:sz w:val="28"/>
          <w:szCs w:val="28"/>
        </w:rPr>
        <w:t>ной деятельности.</w:t>
      </w:r>
    </w:p>
    <w:p w:rsidR="00583DA6" w:rsidRDefault="006A45D9">
      <w:pPr>
        <w:ind w:firstLine="709"/>
        <w:jc w:val="both"/>
        <w:rPr>
          <w:rFonts w:ascii="Times New Roman" w:hAnsi="Times New Roman"/>
          <w:sz w:val="28"/>
          <w:szCs w:val="28"/>
        </w:rPr>
      </w:pPr>
      <w:r>
        <w:rPr>
          <w:rFonts w:ascii="Times New Roman" w:hAnsi="Times New Roman"/>
          <w:sz w:val="28"/>
          <w:szCs w:val="28"/>
        </w:rPr>
        <w:t>Мероприятия государственной программы Камчатского края «Развитие образования в Камчатском крае» направлены на выявление и поддержку одаренных детей и талантливой учащейся молодежи, установлены специальные денежные поощрения для обучающихс</w:t>
      </w:r>
      <w:r>
        <w:rPr>
          <w:rFonts w:ascii="Times New Roman" w:hAnsi="Times New Roman"/>
          <w:sz w:val="28"/>
          <w:szCs w:val="28"/>
        </w:rPr>
        <w:t>я общеобразовательных организаций и организаций дополнительного образования, проявивших выдающиеся способности в сфере образования, культуры, спорта, молодежной политики и являющихся победителями краевых, всероссийских, международных конкурсов, олимпиад, с</w:t>
      </w:r>
      <w:r>
        <w:rPr>
          <w:rFonts w:ascii="Times New Roman" w:hAnsi="Times New Roman"/>
          <w:sz w:val="28"/>
          <w:szCs w:val="28"/>
        </w:rPr>
        <w:t>оревнований для одаренных детей и молодежи.</w:t>
      </w:r>
    </w:p>
    <w:p w:rsidR="00583DA6" w:rsidRDefault="006A45D9">
      <w:pPr>
        <w:ind w:firstLine="709"/>
        <w:jc w:val="both"/>
        <w:rPr>
          <w:rFonts w:ascii="Times New Roman" w:hAnsi="Times New Roman"/>
          <w:sz w:val="28"/>
          <w:szCs w:val="28"/>
        </w:rPr>
      </w:pPr>
      <w:r>
        <w:rPr>
          <w:rFonts w:ascii="Times New Roman" w:hAnsi="Times New Roman"/>
          <w:sz w:val="28"/>
          <w:szCs w:val="28"/>
        </w:rPr>
        <w:t>В 2022 году проведен региональный этап всероссийской олимпиады школьников, которая охватила более 60 % обучающихся общеобразовательных организаций. В региональном этапе всероссийской олимпиады школьников в Камчат</w:t>
      </w:r>
      <w:r>
        <w:rPr>
          <w:rFonts w:ascii="Times New Roman" w:hAnsi="Times New Roman"/>
          <w:sz w:val="28"/>
          <w:szCs w:val="28"/>
        </w:rPr>
        <w:t>ском крае приняли участие 835 участника; 236 школьников стали победителями и призерами; 16 человек приняли участие в заключительном этапе олимпиады.</w:t>
      </w:r>
    </w:p>
    <w:p w:rsidR="00583DA6" w:rsidRDefault="006A45D9">
      <w:pPr>
        <w:ind w:firstLine="709"/>
        <w:jc w:val="both"/>
        <w:rPr>
          <w:rFonts w:ascii="Times New Roman" w:hAnsi="Times New Roman"/>
          <w:sz w:val="28"/>
          <w:szCs w:val="28"/>
        </w:rPr>
      </w:pPr>
      <w:r>
        <w:rPr>
          <w:rFonts w:ascii="Times New Roman" w:hAnsi="Times New Roman"/>
          <w:sz w:val="28"/>
          <w:szCs w:val="28"/>
        </w:rPr>
        <w:t>В системе профессионального образования Камчатского края в рамках реализации регионального проекта «Молодые</w:t>
      </w:r>
      <w:r>
        <w:rPr>
          <w:rFonts w:ascii="Times New Roman" w:hAnsi="Times New Roman"/>
          <w:sz w:val="28"/>
          <w:szCs w:val="28"/>
        </w:rPr>
        <w:t xml:space="preserve"> профессионалы (Повышение конкурентоспособности профессионального образования)» национального проекта «Образование» аккредитовано 17 центров проведения демонстрационного экзамена на базе 9 образовательных организаций, организованы и проведены стажировки в </w:t>
      </w:r>
      <w:r>
        <w:rPr>
          <w:rFonts w:ascii="Times New Roman" w:hAnsi="Times New Roman"/>
          <w:sz w:val="28"/>
          <w:szCs w:val="28"/>
        </w:rPr>
        <w:t>учебных мастерских профессиональных образовательных организаций, расположенных на территории Российской Федерации, созданы современные мастерские для обучения по программам «Администрирование отеля», «Туризм», «Парикмахерское искусство», «Электромонтаж», «</w:t>
      </w:r>
      <w:r>
        <w:rPr>
          <w:rFonts w:ascii="Times New Roman" w:hAnsi="Times New Roman"/>
          <w:sz w:val="28"/>
          <w:szCs w:val="28"/>
        </w:rPr>
        <w:t>Промышленная автоматика», «Холодильная техника и системы кондиционирования», «Поварское дело», «Кондитерское дело».</w:t>
      </w:r>
    </w:p>
    <w:p w:rsidR="00583DA6" w:rsidRDefault="006A45D9">
      <w:pPr>
        <w:ind w:firstLine="709"/>
        <w:jc w:val="both"/>
        <w:rPr>
          <w:rFonts w:ascii="Times New Roman" w:hAnsi="Times New Roman"/>
          <w:sz w:val="28"/>
          <w:szCs w:val="28"/>
        </w:rPr>
      </w:pPr>
      <w:r>
        <w:rPr>
          <w:rFonts w:ascii="Times New Roman" w:hAnsi="Times New Roman"/>
          <w:sz w:val="28"/>
          <w:szCs w:val="28"/>
        </w:rPr>
        <w:t>В рамках поддержки научной деятельности в Камчатском крае проведено мероприятие-спутник Конгресса молодых ученых. В мероприятии приняли учас</w:t>
      </w:r>
      <w:r>
        <w:rPr>
          <w:rFonts w:ascii="Times New Roman" w:hAnsi="Times New Roman"/>
          <w:sz w:val="28"/>
          <w:szCs w:val="28"/>
        </w:rPr>
        <w:t xml:space="preserve">тие более 120 ученых и исследователей со всей России. Итогами работы ученых стали проекты по 6 актуальным для социально-экономического развития региона направлениям в сфере безопасности жизнедеятельности, экологии, сельского хозяйства и туризма.  </w:t>
      </w:r>
    </w:p>
    <w:p w:rsidR="00583DA6" w:rsidRDefault="006A45D9">
      <w:pPr>
        <w:ind w:firstLine="709"/>
        <w:jc w:val="both"/>
        <w:rPr>
          <w:rFonts w:ascii="Times New Roman" w:hAnsi="Times New Roman"/>
          <w:sz w:val="28"/>
          <w:szCs w:val="28"/>
        </w:rPr>
      </w:pPr>
      <w:r>
        <w:rPr>
          <w:rFonts w:ascii="Times New Roman" w:hAnsi="Times New Roman"/>
          <w:sz w:val="28"/>
          <w:szCs w:val="28"/>
        </w:rPr>
        <w:t>АНО «ОНЦ</w:t>
      </w:r>
      <w:r>
        <w:rPr>
          <w:rFonts w:ascii="Times New Roman" w:hAnsi="Times New Roman"/>
          <w:sz w:val="28"/>
          <w:szCs w:val="28"/>
        </w:rPr>
        <w:t xml:space="preserve"> «Ойкумена» проведен ряд мероприятий: Проект-симбиоз «Зелёные школы», Лагерь по формированию экологического сознания «ЭкоКэмп», Курс «Ландшафтная геотехника», научно-образовательные мероприятия по созданию цифрового дневника природной территории, Проект «К</w:t>
      </w:r>
      <w:r>
        <w:rPr>
          <w:rFonts w:ascii="Times New Roman" w:hAnsi="Times New Roman"/>
          <w:sz w:val="28"/>
          <w:szCs w:val="28"/>
        </w:rPr>
        <w:t>расота из мусора», мастерская Trash.Art.Lab, образовательные интенсивы «Школьный акселератор экопроектов». В мероприятиях приняли участие 400 человек.</w:t>
      </w:r>
    </w:p>
    <w:p w:rsidR="00583DA6" w:rsidRDefault="00583DA6">
      <w:pPr>
        <w:ind w:firstLine="709"/>
        <w:jc w:val="both"/>
        <w:rPr>
          <w:rFonts w:ascii="Times New Roman" w:hAnsi="Times New Roman"/>
          <w:sz w:val="28"/>
          <w:szCs w:val="28"/>
        </w:rPr>
      </w:pPr>
    </w:p>
    <w:p w:rsidR="00583DA6" w:rsidRDefault="00583DA6">
      <w:pPr>
        <w:ind w:firstLine="709"/>
        <w:jc w:val="both"/>
        <w:rPr>
          <w:rFonts w:ascii="Times New Roman" w:hAnsi="Times New Roman"/>
          <w:sz w:val="28"/>
          <w:szCs w:val="28"/>
        </w:rPr>
      </w:pPr>
    </w:p>
    <w:p w:rsidR="00583DA6" w:rsidRDefault="00583DA6">
      <w:pPr>
        <w:ind w:firstLine="709"/>
        <w:jc w:val="both"/>
        <w:rPr>
          <w:rFonts w:ascii="Times New Roman" w:eastAsia="Times New Roman" w:hAnsi="Times New Roman"/>
          <w:b/>
          <w:sz w:val="28"/>
          <w:szCs w:val="28"/>
          <w:shd w:val="clear" w:color="auto" w:fill="FFFF00"/>
          <w:lang w:eastAsia="ru-RU"/>
        </w:rPr>
      </w:pPr>
    </w:p>
    <w:p w:rsidR="00583DA6" w:rsidRDefault="006A45D9">
      <w:pPr>
        <w:pBdr>
          <w:top w:val="single" w:sz="18" w:space="1" w:color="000000"/>
        </w:pBdr>
        <w:ind w:firstLine="709"/>
        <w:jc w:val="both"/>
        <w:outlineLvl w:val="2"/>
        <w:rPr>
          <w:rFonts w:ascii="Times New Roman" w:eastAsia="Times New Roman" w:hAnsi="Times New Roman"/>
          <w:b/>
          <w:sz w:val="28"/>
          <w:szCs w:val="28"/>
          <w:lang w:eastAsia="ru-RU"/>
        </w:rPr>
      </w:pPr>
      <w:bookmarkStart w:id="6" w:name="_Toc132664196"/>
      <w:r>
        <w:rPr>
          <w:rFonts w:ascii="Times New Roman" w:eastAsia="Times New Roman" w:hAnsi="Times New Roman"/>
          <w:b/>
          <w:sz w:val="28"/>
          <w:szCs w:val="28"/>
          <w:lang w:eastAsia="ru-RU"/>
        </w:rPr>
        <w:t>Культура</w:t>
      </w:r>
      <w:bookmarkEnd w:id="6"/>
    </w:p>
    <w:p w:rsidR="00583DA6" w:rsidRDefault="00583DA6">
      <w:pPr>
        <w:pBdr>
          <w:top w:val="single" w:sz="18" w:space="1" w:color="000000"/>
        </w:pBdr>
        <w:ind w:firstLine="709"/>
        <w:jc w:val="both"/>
        <w:rPr>
          <w:rFonts w:ascii="Times New Roman" w:eastAsia="Times New Roman" w:hAnsi="Times New Roman"/>
          <w:sz w:val="28"/>
          <w:szCs w:val="28"/>
          <w:lang w:eastAsia="ru-RU"/>
        </w:rPr>
      </w:pPr>
    </w:p>
    <w:p w:rsidR="00583DA6" w:rsidRDefault="006A45D9">
      <w:pPr>
        <w:pBdr>
          <w:top w:val="single" w:sz="18" w:space="1" w:color="000000"/>
        </w:pBd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Сохранение культурного и исторического наследия, обеспечение равного доступа населения к </w:t>
      </w:r>
      <w:r>
        <w:rPr>
          <w:rFonts w:ascii="Times New Roman" w:eastAsia="Times New Roman" w:hAnsi="Times New Roman"/>
          <w:sz w:val="28"/>
          <w:szCs w:val="28"/>
          <w:lang w:eastAsia="ru-RU"/>
        </w:rPr>
        <w:t>культурным ценностям и участию в культурной жизни, реализация творческого потенциала населения Камчатского края является главной целью государственной программы Камчатского края «Развитие культуры в Камчатском крае», ответственным исполнителем которой явля</w:t>
      </w:r>
      <w:r>
        <w:rPr>
          <w:rFonts w:ascii="Times New Roman" w:eastAsia="Times New Roman" w:hAnsi="Times New Roman"/>
          <w:sz w:val="28"/>
          <w:szCs w:val="28"/>
          <w:lang w:eastAsia="ru-RU"/>
        </w:rPr>
        <w:t>ется Министерство культуры Камчатского края.</w:t>
      </w:r>
    </w:p>
    <w:p w:rsidR="00583DA6" w:rsidRDefault="006A45D9">
      <w:pPr>
        <w:pStyle w:val="aff2"/>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рамках региональных проектов в 2022 году достигнуты следующие ключевые показатели:</w:t>
      </w:r>
    </w:p>
    <w:p w:rsidR="00583DA6" w:rsidRDefault="006A45D9">
      <w:pPr>
        <w:pStyle w:val="aff2"/>
        <w:numPr>
          <w:ilvl w:val="0"/>
          <w:numId w:val="2"/>
        </w:numPr>
        <w:ind w:left="0" w:firstLine="709"/>
        <w:jc w:val="both"/>
        <w:rPr>
          <w:rFonts w:ascii="Times New Roman" w:hAnsi="Times New Roman"/>
          <w:sz w:val="28"/>
          <w:szCs w:val="28"/>
        </w:rPr>
      </w:pPr>
      <w:r>
        <w:rPr>
          <w:rFonts w:ascii="Times New Roman" w:eastAsia="Times New Roman" w:hAnsi="Times New Roman"/>
          <w:sz w:val="28"/>
          <w:szCs w:val="28"/>
          <w:lang w:eastAsia="ru-RU"/>
        </w:rPr>
        <w:t>приобретен терминал сбора данных Атолл для обслуживания зрителей КГАУ «Камчатский театр кукол»;</w:t>
      </w:r>
    </w:p>
    <w:p w:rsidR="00583DA6" w:rsidRDefault="006A45D9">
      <w:pPr>
        <w:pStyle w:val="aff2"/>
        <w:numPr>
          <w:ilvl w:val="0"/>
          <w:numId w:val="2"/>
        </w:numPr>
        <w:ind w:left="0" w:firstLine="709"/>
        <w:jc w:val="both"/>
        <w:rPr>
          <w:rFonts w:ascii="Times New Roman" w:hAnsi="Times New Roman"/>
          <w:sz w:val="28"/>
          <w:szCs w:val="28"/>
        </w:rPr>
      </w:pPr>
      <w:r>
        <w:rPr>
          <w:rFonts w:ascii="Times New Roman" w:eastAsia="Times New Roman" w:hAnsi="Times New Roman"/>
          <w:sz w:val="28"/>
          <w:szCs w:val="28"/>
          <w:lang w:eastAsia="ru-RU"/>
        </w:rPr>
        <w:t>отремонтированы 5 муниципальны</w:t>
      </w:r>
      <w:r>
        <w:rPr>
          <w:rFonts w:ascii="Times New Roman" w:eastAsia="Times New Roman" w:hAnsi="Times New Roman"/>
          <w:sz w:val="28"/>
          <w:szCs w:val="28"/>
          <w:lang w:eastAsia="ru-RU"/>
        </w:rPr>
        <w:t>х детских школ искусств (детская школа искусств п. Николаевка, детская школа искусств п. Усть-Камчатск, Елизовская детская художественная школа, Быстринская детская школа искусств);</w:t>
      </w:r>
    </w:p>
    <w:p w:rsidR="00583DA6" w:rsidRDefault="006A45D9">
      <w:pPr>
        <w:pStyle w:val="aff2"/>
        <w:numPr>
          <w:ilvl w:val="0"/>
          <w:numId w:val="2"/>
        </w:numPr>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проведены работы по капитальному ремонту 12 сельских домов культуры (6 – Е</w:t>
      </w:r>
      <w:r>
        <w:rPr>
          <w:rFonts w:ascii="Times New Roman" w:eastAsia="Times New Roman" w:hAnsi="Times New Roman"/>
          <w:sz w:val="28"/>
          <w:szCs w:val="28"/>
          <w:lang w:eastAsia="ru-RU"/>
        </w:rPr>
        <w:t>лизовский муниципальный район, 1 – Мильковский муниципальный район, 1 – Усть-Камчатский муниципальный район, 1 – Усть-Большерецкий муниципальный район, 1 – Олюторский муниципальный район, 1 – Тигильский муниципальный район, 1 – Соболевский муниципальный ра</w:t>
      </w:r>
      <w:r>
        <w:rPr>
          <w:rFonts w:ascii="Times New Roman" w:eastAsia="Times New Roman" w:hAnsi="Times New Roman"/>
          <w:sz w:val="28"/>
          <w:szCs w:val="28"/>
          <w:lang w:eastAsia="ru-RU"/>
        </w:rPr>
        <w:t>йон);</w:t>
      </w:r>
    </w:p>
    <w:p w:rsidR="00583DA6" w:rsidRDefault="006A45D9">
      <w:pPr>
        <w:pStyle w:val="aff2"/>
        <w:numPr>
          <w:ilvl w:val="0"/>
          <w:numId w:val="2"/>
        </w:numPr>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проведены работы по капитальному ремонту 1 муниципального музея в Алеутском округе;</w:t>
      </w:r>
    </w:p>
    <w:p w:rsidR="00583DA6" w:rsidRDefault="006A45D9">
      <w:pPr>
        <w:pStyle w:val="aff2"/>
        <w:numPr>
          <w:ilvl w:val="0"/>
          <w:numId w:val="2"/>
        </w:numPr>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обновлена материально-техническая база трех краеведческих музеев: краеведческий музей Вилючинского ГО, этнографический музей Быстринского муниципального района, Елизо</w:t>
      </w:r>
      <w:r>
        <w:rPr>
          <w:rFonts w:ascii="Times New Roman" w:eastAsia="Times New Roman" w:hAnsi="Times New Roman"/>
          <w:sz w:val="28"/>
          <w:szCs w:val="28"/>
          <w:lang w:eastAsia="ru-RU"/>
        </w:rPr>
        <w:t>вский краеведческий музей: всего заключено 15 прямых контрактов на общую сумму 3,29 млн рублей, оборудование поставлено в полном объеме;</w:t>
      </w:r>
    </w:p>
    <w:p w:rsidR="00583DA6" w:rsidRDefault="006A45D9">
      <w:pPr>
        <w:pStyle w:val="aff2"/>
        <w:numPr>
          <w:ilvl w:val="0"/>
          <w:numId w:val="2"/>
        </w:numPr>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проведены мероприятия культурно-просветительской экспедиции в рамках зимнего фестиваля «БЕРИНГИЯ-2022»;</w:t>
      </w:r>
    </w:p>
    <w:p w:rsidR="00583DA6" w:rsidRDefault="006A45D9">
      <w:pPr>
        <w:pStyle w:val="aff2"/>
        <w:numPr>
          <w:ilvl w:val="0"/>
          <w:numId w:val="2"/>
        </w:numPr>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проведен цикл м</w:t>
      </w:r>
      <w:r>
        <w:rPr>
          <w:rFonts w:ascii="Times New Roman" w:eastAsia="Times New Roman" w:hAnsi="Times New Roman"/>
          <w:sz w:val="28"/>
          <w:szCs w:val="28"/>
          <w:lang w:eastAsia="ru-RU"/>
        </w:rPr>
        <w:t>ероприятий, посвященных 15-летию со дня образования Камчатского края (праздничное мероприятие – народные гуляния, окружной конкурс детского рисунка «Камчатский край – мой дом родной», выпуск почтовой открытки «Уникальный Камчатский край»).</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2022 году пере</w:t>
      </w:r>
      <w:r>
        <w:rPr>
          <w:rFonts w:ascii="Times New Roman" w:eastAsia="Times New Roman" w:hAnsi="Times New Roman"/>
          <w:sz w:val="28"/>
          <w:szCs w:val="28"/>
          <w:lang w:eastAsia="ru-RU"/>
        </w:rPr>
        <w:t>оснащена МБУК «Межпоселенческая центральная библиотека им. К. С. Черканова». В рамках реализации мероприятия проведены ремонтные работы, пополнен библиотечный фонд, приобретена библиотечная мебель, повышена квалификация сотрудников библиотеки.</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рамках кул</w:t>
      </w:r>
      <w:r>
        <w:rPr>
          <w:rFonts w:ascii="Times New Roman" w:eastAsia="Times New Roman" w:hAnsi="Times New Roman"/>
          <w:sz w:val="28"/>
          <w:szCs w:val="28"/>
          <w:lang w:eastAsia="ru-RU"/>
        </w:rPr>
        <w:t>ьтурной программы выставки «Улица Дальнего Востока» проведено 21 мероприятие, количество зрителей - 4 628 человек. В том числе коллектив КГБУ «Корякский фольклорный ансамбль танца «Ангт» имени Иосифа Жукова» принял участие в фестивале Росконгресса «Душа Ро</w:t>
      </w:r>
      <w:r>
        <w:rPr>
          <w:rFonts w:ascii="Times New Roman" w:eastAsia="Times New Roman" w:hAnsi="Times New Roman"/>
          <w:sz w:val="28"/>
          <w:szCs w:val="28"/>
          <w:lang w:eastAsia="ru-RU"/>
        </w:rPr>
        <w:t>ссии». Север», проходившем на главной сцене ВЭФ-2022, дальневосточном фестивале народного творчества «Дни мира на Тихом океане», посвященном 77-ой годовщине окончания Второй мировой войны в г. Владивостоке.</w:t>
      </w:r>
    </w:p>
    <w:p w:rsidR="00583DA6" w:rsidRDefault="00583DA6">
      <w:pPr>
        <w:ind w:firstLine="709"/>
        <w:jc w:val="both"/>
        <w:rPr>
          <w:rFonts w:ascii="Times New Roman" w:eastAsia="Times New Roman" w:hAnsi="Times New Roman"/>
          <w:b/>
          <w:sz w:val="28"/>
          <w:szCs w:val="28"/>
          <w:lang w:eastAsia="ru-RU"/>
        </w:rPr>
      </w:pPr>
    </w:p>
    <w:p w:rsidR="00583DA6" w:rsidRDefault="006A45D9">
      <w:pPr>
        <w:pBdr>
          <w:top w:val="single" w:sz="18" w:space="1" w:color="000000"/>
        </w:pBdr>
        <w:ind w:firstLine="709"/>
        <w:jc w:val="both"/>
        <w:outlineLvl w:val="2"/>
        <w:rPr>
          <w:rFonts w:ascii="Times New Roman" w:eastAsia="Times New Roman" w:hAnsi="Times New Roman"/>
          <w:b/>
          <w:sz w:val="28"/>
          <w:szCs w:val="28"/>
          <w:lang w:eastAsia="ru-RU"/>
        </w:rPr>
      </w:pPr>
      <w:bookmarkStart w:id="7" w:name="_Toc132664197"/>
      <w:r>
        <w:rPr>
          <w:rFonts w:ascii="Times New Roman" w:eastAsia="Times New Roman" w:hAnsi="Times New Roman"/>
          <w:b/>
          <w:sz w:val="28"/>
          <w:szCs w:val="28"/>
          <w:lang w:eastAsia="ru-RU"/>
        </w:rPr>
        <w:t>Общество</w:t>
      </w:r>
      <w:bookmarkEnd w:id="7"/>
    </w:p>
    <w:p w:rsidR="00583DA6" w:rsidRDefault="00583DA6">
      <w:pPr>
        <w:ind w:firstLine="709"/>
        <w:jc w:val="both"/>
        <w:rPr>
          <w:rFonts w:ascii="Times New Roman" w:eastAsia="Times New Roman" w:hAnsi="Times New Roman"/>
          <w:sz w:val="28"/>
          <w:szCs w:val="28"/>
          <w:lang w:eastAsia="ru-RU"/>
        </w:rPr>
      </w:pP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Вопросы сохранения традиционных семейн</w:t>
      </w:r>
      <w:r>
        <w:rPr>
          <w:rFonts w:ascii="Times New Roman" w:eastAsia="Times New Roman" w:hAnsi="Times New Roman"/>
          <w:sz w:val="28"/>
          <w:szCs w:val="28"/>
          <w:lang w:eastAsia="ru-RU"/>
        </w:rPr>
        <w:t>ых ценностей, повышения авторитета родительства, создания условий для выполнения семьей ее функций, комплексного решения проблем семей и детей реализуются посредством государственной программы Камчатского края «Семья и дети Камчатки».</w:t>
      </w:r>
      <w:r>
        <w:rPr>
          <w:rFonts w:ascii="Times New Roman" w:hAnsi="Times New Roman"/>
          <w:sz w:val="28"/>
          <w:szCs w:val="28"/>
        </w:rPr>
        <w:t xml:space="preserve"> Мероприятия программы</w:t>
      </w:r>
      <w:r>
        <w:rPr>
          <w:rFonts w:ascii="Times New Roman" w:hAnsi="Times New Roman"/>
          <w:sz w:val="28"/>
          <w:szCs w:val="28"/>
        </w:rPr>
        <w:t xml:space="preserve"> имеют разноплановый характер и направлены на пропаганду традиционных семейных ценностей, семейного образа жизни, привлечение семей и детей к участию в общественной жизни, социальное сопровождение семей и детей, находящихся в трудной жизненной ситуации, на</w:t>
      </w:r>
      <w:r>
        <w:rPr>
          <w:rFonts w:ascii="Times New Roman" w:hAnsi="Times New Roman"/>
          <w:sz w:val="28"/>
          <w:szCs w:val="28"/>
        </w:rPr>
        <w:t xml:space="preserve"> проведение различных социальных конкурсов, антинаркотических и антиалкогольных массовых акций</w:t>
      </w:r>
      <w:r>
        <w:rPr>
          <w:rFonts w:ascii="Times New Roman" w:eastAsia="Times New Roman" w:hAnsi="Times New Roman"/>
          <w:sz w:val="28"/>
          <w:szCs w:val="28"/>
          <w:lang w:eastAsia="ru-RU"/>
        </w:rPr>
        <w:t>.</w:t>
      </w:r>
    </w:p>
    <w:p w:rsidR="00583DA6" w:rsidRDefault="006A45D9">
      <w:pPr>
        <w:ind w:firstLine="709"/>
        <w:jc w:val="both"/>
        <w:rPr>
          <w:rFonts w:ascii="Times New Roman" w:hAnsi="Times New Roman"/>
          <w:sz w:val="28"/>
          <w:szCs w:val="28"/>
        </w:rPr>
      </w:pPr>
      <w:r>
        <w:rPr>
          <w:rFonts w:ascii="Times New Roman" w:eastAsia="Times New Roman" w:hAnsi="Times New Roman"/>
          <w:sz w:val="28"/>
          <w:szCs w:val="28"/>
          <w:lang w:eastAsia="ru-RU"/>
        </w:rPr>
        <w:t xml:space="preserve">Организованы и проведены 86 социально значимых мероприятий, направленных на укрепление семейных ценностей, профилактику социального сиротства, жестокого обращения с детьми, </w:t>
      </w:r>
      <w:r>
        <w:rPr>
          <w:rFonts w:ascii="Times New Roman" w:hAnsi="Times New Roman"/>
          <w:sz w:val="28"/>
          <w:szCs w:val="28"/>
        </w:rPr>
        <w:t>в которых приняло участие 2 347 человек.</w:t>
      </w:r>
    </w:p>
    <w:p w:rsidR="00583DA6" w:rsidRDefault="006A45D9">
      <w:pPr>
        <w:ind w:firstLine="709"/>
        <w:jc w:val="both"/>
        <w:rPr>
          <w:rFonts w:ascii="Times New Roman" w:hAnsi="Times New Roman"/>
          <w:bCs/>
          <w:sz w:val="28"/>
          <w:szCs w:val="28"/>
        </w:rPr>
      </w:pPr>
      <w:r>
        <w:rPr>
          <w:rFonts w:ascii="Times New Roman" w:hAnsi="Times New Roman"/>
          <w:bCs/>
          <w:sz w:val="28"/>
          <w:szCs w:val="28"/>
        </w:rPr>
        <w:t>В Корякском округе 81 малообеспеченной сем</w:t>
      </w:r>
      <w:r>
        <w:rPr>
          <w:rFonts w:ascii="Times New Roman" w:hAnsi="Times New Roman"/>
          <w:bCs/>
          <w:sz w:val="28"/>
          <w:szCs w:val="28"/>
        </w:rPr>
        <w:t>ье предоставлены единовременные выплаты в связи с рождением детей (размер выплаты составляет 3,5 тыс. рублей).</w:t>
      </w:r>
    </w:p>
    <w:p w:rsidR="00583DA6" w:rsidRDefault="006A45D9">
      <w:pPr>
        <w:ind w:firstLine="709"/>
        <w:jc w:val="both"/>
        <w:rPr>
          <w:rFonts w:ascii="Times New Roman" w:hAnsi="Times New Roman"/>
          <w:bCs/>
          <w:sz w:val="28"/>
          <w:szCs w:val="28"/>
        </w:rPr>
      </w:pPr>
      <w:r>
        <w:rPr>
          <w:rFonts w:ascii="Times New Roman" w:hAnsi="Times New Roman"/>
          <w:bCs/>
          <w:sz w:val="28"/>
          <w:szCs w:val="28"/>
        </w:rPr>
        <w:t>Услугами пункта проката реабилитационного и игрового оборудования в Камчатском центре помощи «Семья» воспользовались 35 семей с детьми-инвалидами</w:t>
      </w:r>
      <w:r>
        <w:rPr>
          <w:rFonts w:ascii="Times New Roman" w:hAnsi="Times New Roman"/>
          <w:bCs/>
          <w:sz w:val="28"/>
          <w:szCs w:val="28"/>
        </w:rPr>
        <w:t>.</w:t>
      </w:r>
    </w:p>
    <w:p w:rsidR="00583DA6" w:rsidRDefault="006A45D9">
      <w:pPr>
        <w:ind w:firstLine="709"/>
        <w:jc w:val="both"/>
        <w:rPr>
          <w:rFonts w:ascii="Times New Roman" w:hAnsi="Times New Roman"/>
          <w:bCs/>
          <w:sz w:val="28"/>
          <w:szCs w:val="28"/>
        </w:rPr>
      </w:pPr>
      <w:r>
        <w:rPr>
          <w:rFonts w:ascii="Times New Roman" w:hAnsi="Times New Roman"/>
          <w:bCs/>
          <w:sz w:val="28"/>
          <w:szCs w:val="28"/>
        </w:rPr>
        <w:t xml:space="preserve">Продолжено оснащение новым диагностическим оборудованием 6-ти учреждений социального обслуживания, на базе которых организована ранняя помощь детям с нарушениями в развитии (расположены в г. Петропавловске-Камчатском, г. Вилючинске, п. Палана в </w:t>
      </w:r>
      <w:r>
        <w:rPr>
          <w:rFonts w:ascii="Times New Roman" w:hAnsi="Times New Roman"/>
          <w:bCs/>
          <w:sz w:val="28"/>
          <w:szCs w:val="28"/>
        </w:rPr>
        <w:t>Быстринском и Елизовском муниципальных районах).</w:t>
      </w:r>
    </w:p>
    <w:p w:rsidR="00583DA6" w:rsidRDefault="006A45D9">
      <w:pPr>
        <w:ind w:firstLine="709"/>
        <w:jc w:val="both"/>
        <w:rPr>
          <w:rFonts w:ascii="Times New Roman" w:hAnsi="Times New Roman"/>
          <w:bCs/>
          <w:sz w:val="28"/>
          <w:szCs w:val="28"/>
        </w:rPr>
      </w:pPr>
      <w:r>
        <w:rPr>
          <w:rFonts w:ascii="Times New Roman" w:hAnsi="Times New Roman"/>
          <w:bCs/>
          <w:sz w:val="28"/>
          <w:szCs w:val="28"/>
        </w:rPr>
        <w:t>Организован отдых, оздоровление и совместный досуг 154 семей с детьми-инвалидами.</w:t>
      </w:r>
    </w:p>
    <w:p w:rsidR="00583DA6" w:rsidRDefault="006A45D9">
      <w:pPr>
        <w:pStyle w:val="afff1"/>
        <w:keepNext/>
        <w:widowControl/>
        <w:tabs>
          <w:tab w:val="left" w:pos="0"/>
        </w:tabs>
        <w:ind w:left="57" w:right="57" w:firstLine="709"/>
        <w:jc w:val="both"/>
        <w:rPr>
          <w:color w:val="auto"/>
          <w:sz w:val="28"/>
          <w:szCs w:val="28"/>
        </w:rPr>
      </w:pPr>
      <w:r>
        <w:rPr>
          <w:color w:val="auto"/>
          <w:sz w:val="28"/>
          <w:szCs w:val="28"/>
        </w:rPr>
        <w:t>Коэффициент эффективности реализации государственной программы в отчетном году составил 0,986. Учитывая методику оценки эффек</w:t>
      </w:r>
      <w:r>
        <w:rPr>
          <w:color w:val="auto"/>
          <w:sz w:val="28"/>
          <w:szCs w:val="28"/>
        </w:rPr>
        <w:t xml:space="preserve">тивности, государственная программа Камчатского края «Семья и дети Камчатки» считается реализуемой с высоким уровнем эффективности. </w:t>
      </w:r>
    </w:p>
    <w:p w:rsidR="00583DA6" w:rsidRDefault="006A45D9">
      <w:pPr>
        <w:ind w:left="57" w:right="57" w:firstLine="709"/>
        <w:jc w:val="both"/>
        <w:rPr>
          <w:rFonts w:ascii="Times New Roman" w:hAnsi="Times New Roman"/>
          <w:sz w:val="28"/>
          <w:szCs w:val="28"/>
        </w:rPr>
      </w:pPr>
      <w:r>
        <w:rPr>
          <w:rFonts w:ascii="Times New Roman" w:hAnsi="Times New Roman"/>
          <w:sz w:val="28"/>
          <w:szCs w:val="28"/>
        </w:rPr>
        <w:t>При этом имеется необходимость усилить направления работы, связанные с профилактикой семейного неблагополучия (акцент на ра</w:t>
      </w:r>
      <w:r>
        <w:rPr>
          <w:rFonts w:ascii="Times New Roman" w:hAnsi="Times New Roman"/>
          <w:sz w:val="28"/>
          <w:szCs w:val="28"/>
        </w:rPr>
        <w:t>ннее выявление семейного неблагополучия и организация социального сопровождения) и отказами от новорожденных (усилить межведомственное взаимодействие, разработать порядок данного взаимодействия).</w:t>
      </w:r>
    </w:p>
    <w:p w:rsidR="00583DA6" w:rsidRDefault="006A45D9">
      <w:pPr>
        <w:ind w:firstLine="709"/>
        <w:jc w:val="both"/>
        <w:rPr>
          <w:rFonts w:ascii="Times New Roman" w:hAnsi="Times New Roman"/>
          <w:bCs/>
          <w:sz w:val="28"/>
          <w:szCs w:val="28"/>
        </w:rPr>
      </w:pPr>
      <w:r>
        <w:rPr>
          <w:rFonts w:ascii="Times New Roman" w:hAnsi="Times New Roman"/>
          <w:bCs/>
          <w:sz w:val="28"/>
          <w:szCs w:val="28"/>
        </w:rPr>
        <w:t>В рамках государственной программы Камчатского края «Сохране</w:t>
      </w:r>
      <w:r>
        <w:rPr>
          <w:rFonts w:ascii="Times New Roman" w:hAnsi="Times New Roman"/>
          <w:bCs/>
          <w:sz w:val="28"/>
          <w:szCs w:val="28"/>
        </w:rPr>
        <w:t>ние языков коренных малочисленных народов Севера, Сибири и Дальнего Востока Российской Федерации, проживающих в Камчатском крае» проведены различные тематические мероприятия, направленные на сохранение, изучение и развитие родных языков коренных малочислен</w:t>
      </w:r>
      <w:r>
        <w:rPr>
          <w:rFonts w:ascii="Times New Roman" w:hAnsi="Times New Roman"/>
          <w:bCs/>
          <w:sz w:val="28"/>
          <w:szCs w:val="28"/>
        </w:rPr>
        <w:t>ных народов в рамках следующих национальных и обрядовых праздников: «Алхалалалай» (ительменский обрядовый праздник), «Хололо» (праздник береговых коряков-нымыланов), Аюангт (корякский обрядовый праздник), День первой рыбы (корякский обрядовый праздник), Вс</w:t>
      </w:r>
      <w:r>
        <w:rPr>
          <w:rFonts w:ascii="Times New Roman" w:hAnsi="Times New Roman"/>
          <w:bCs/>
          <w:sz w:val="28"/>
          <w:szCs w:val="28"/>
        </w:rPr>
        <w:t>треча Нового солнца (корякский обрядовый праздник).</w:t>
      </w:r>
    </w:p>
    <w:p w:rsidR="00583DA6" w:rsidRDefault="006A45D9">
      <w:pPr>
        <w:ind w:firstLine="709"/>
        <w:jc w:val="both"/>
        <w:rPr>
          <w:rFonts w:ascii="Times New Roman" w:hAnsi="Times New Roman"/>
          <w:bCs/>
          <w:sz w:val="28"/>
          <w:szCs w:val="28"/>
        </w:rPr>
      </w:pPr>
      <w:r>
        <w:rPr>
          <w:rFonts w:ascii="Times New Roman" w:hAnsi="Times New Roman"/>
          <w:bCs/>
          <w:sz w:val="28"/>
          <w:szCs w:val="28"/>
        </w:rPr>
        <w:t>Более 55 мероприятий проведены в рамках государственной программы Камчатского края «Реализация государственной национальной политики и укрепление гражданского единства в Камчатском крае.</w:t>
      </w:r>
    </w:p>
    <w:p w:rsidR="00583DA6" w:rsidRDefault="006A45D9">
      <w:pPr>
        <w:ind w:firstLine="709"/>
        <w:jc w:val="both"/>
        <w:rPr>
          <w:rFonts w:ascii="Times New Roman" w:hAnsi="Times New Roman"/>
          <w:sz w:val="28"/>
          <w:szCs w:val="28"/>
        </w:rPr>
      </w:pPr>
      <w:r>
        <w:rPr>
          <w:rFonts w:ascii="Times New Roman" w:hAnsi="Times New Roman"/>
          <w:sz w:val="28"/>
          <w:szCs w:val="28"/>
        </w:rPr>
        <w:t>Информационно-про</w:t>
      </w:r>
      <w:r>
        <w:rPr>
          <w:rFonts w:ascii="Times New Roman" w:hAnsi="Times New Roman"/>
          <w:sz w:val="28"/>
          <w:szCs w:val="28"/>
        </w:rPr>
        <w:t>светительским центром «В семье единой» при поддержке Министерства развития гражданского общества и молодежи Камчатского края, Министерства культуры Камчатского края был проведен V краевой конкурс национальных культур «В объективе – многоликая Камчатка». Ко</w:t>
      </w:r>
      <w:r>
        <w:rPr>
          <w:rFonts w:ascii="Times New Roman" w:hAnsi="Times New Roman"/>
          <w:sz w:val="28"/>
          <w:szCs w:val="28"/>
        </w:rPr>
        <w:t xml:space="preserve">нкурс прошел в два этапа: детский и взрослый. </w:t>
      </w:r>
      <w:r>
        <w:rPr>
          <w:rFonts w:ascii="Times New Roman" w:hAnsi="Times New Roman"/>
          <w:bCs/>
          <w:sz w:val="28"/>
          <w:szCs w:val="28"/>
        </w:rPr>
        <w:t>В конкурсе приняли участие 69 человек, дети и молодежь в возрасте от 7 до 17 лет.  На конкурс было представлено 28 номеров в следующих номинациях: «Художественное слово», «Песня на национальном языке», «Национа</w:t>
      </w:r>
      <w:r>
        <w:rPr>
          <w:rFonts w:ascii="Times New Roman" w:hAnsi="Times New Roman"/>
          <w:bCs/>
          <w:sz w:val="28"/>
          <w:szCs w:val="28"/>
        </w:rPr>
        <w:t>льный танец», «Национальный костюм». Особенности своей национальной культуры представили русские, армяне, азербайджанцы, украинцы, киргизы, белорусы, ительмены, узбеки, тувинцы, молдаване, буряты, татары, таджики, корейцы. Мероприятие посетило 180 человек.</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этнографическом стойбище «Аушин» отметили ительменский обрядовый праздник «Алхалалалай»! Ительменский праздник «Алхалалалай» объединяет и укрепляет дружбу и взаимопонимание между людьми разных национальностей, служит сближению и обогащению культур разны</w:t>
      </w:r>
      <w:r>
        <w:rPr>
          <w:rFonts w:ascii="Times New Roman" w:eastAsia="Times New Roman" w:hAnsi="Times New Roman"/>
          <w:sz w:val="28"/>
          <w:szCs w:val="28"/>
          <w:lang w:eastAsia="ru-RU"/>
        </w:rPr>
        <w:t>х народов. Проведен Корякский обрядовый праздник «Хололо».</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Праздник посетили и участвовали 1 261 человек. В празднике приняли участие 3 коллектива и старейшины – 31 человека. В обрядах – 500 человек, концерт – 600 человек, в мастер–классе по родным языкам </w:t>
      </w:r>
      <w:r>
        <w:rPr>
          <w:rFonts w:ascii="Times New Roman" w:eastAsia="Times New Roman" w:hAnsi="Times New Roman"/>
          <w:sz w:val="28"/>
          <w:szCs w:val="28"/>
          <w:lang w:eastAsia="ru-RU"/>
        </w:rPr>
        <w:t>– 100 человек.</w:t>
      </w:r>
    </w:p>
    <w:p w:rsidR="00583DA6" w:rsidRDefault="006A45D9">
      <w:pPr>
        <w:ind w:firstLine="709"/>
        <w:jc w:val="both"/>
        <w:rPr>
          <w:rFonts w:ascii="Times New Roman" w:hAnsi="Times New Roman"/>
          <w:bCs/>
          <w:sz w:val="28"/>
          <w:szCs w:val="28"/>
        </w:rPr>
      </w:pPr>
      <w:r>
        <w:rPr>
          <w:rFonts w:ascii="Times New Roman" w:hAnsi="Times New Roman"/>
          <w:bCs/>
          <w:sz w:val="28"/>
          <w:szCs w:val="28"/>
        </w:rPr>
        <w:t xml:space="preserve">Ведущей ресурсной организации некоммерческого сектора Камчатского края АНО «Камчатский краевой центр поддержки социально ориентированных некоммерческих организаций» в 2022 году предоставлена субсидия в размере 2,4 млн рублей. По итогам года </w:t>
      </w:r>
      <w:r>
        <w:rPr>
          <w:rFonts w:ascii="Times New Roman" w:hAnsi="Times New Roman"/>
          <w:bCs/>
          <w:sz w:val="28"/>
          <w:szCs w:val="28"/>
        </w:rPr>
        <w:t>результатами работы центра являются:</w:t>
      </w:r>
    </w:p>
    <w:p w:rsidR="00583DA6" w:rsidRDefault="006A45D9">
      <w:pPr>
        <w:ind w:firstLine="709"/>
        <w:jc w:val="both"/>
        <w:rPr>
          <w:rFonts w:ascii="Times New Roman" w:hAnsi="Times New Roman"/>
          <w:bCs/>
          <w:sz w:val="28"/>
          <w:szCs w:val="28"/>
        </w:rPr>
      </w:pPr>
      <w:r>
        <w:rPr>
          <w:rFonts w:ascii="Times New Roman" w:hAnsi="Times New Roman"/>
          <w:bCs/>
          <w:sz w:val="28"/>
          <w:szCs w:val="28"/>
        </w:rPr>
        <w:t>– 138 обучающих мероприятий для работников и добровольцев социально ориентированных некоммерческих организаций в 7 муниципалитетах;</w:t>
      </w:r>
    </w:p>
    <w:p w:rsidR="00583DA6" w:rsidRDefault="006A45D9">
      <w:pPr>
        <w:ind w:firstLine="709"/>
        <w:jc w:val="both"/>
        <w:rPr>
          <w:rFonts w:ascii="Times New Roman" w:hAnsi="Times New Roman"/>
          <w:bCs/>
          <w:sz w:val="28"/>
          <w:szCs w:val="28"/>
        </w:rPr>
      </w:pPr>
      <w:r>
        <w:rPr>
          <w:rFonts w:ascii="Times New Roman" w:hAnsi="Times New Roman"/>
          <w:bCs/>
          <w:sz w:val="28"/>
          <w:szCs w:val="28"/>
        </w:rPr>
        <w:t>– 2 389 консультаций предоставлено 62 социально ориентированным некоммерческим организа</w:t>
      </w:r>
      <w:r>
        <w:rPr>
          <w:rFonts w:ascii="Times New Roman" w:hAnsi="Times New Roman"/>
          <w:bCs/>
          <w:sz w:val="28"/>
          <w:szCs w:val="28"/>
        </w:rPr>
        <w:t xml:space="preserve">циям; </w:t>
      </w:r>
    </w:p>
    <w:p w:rsidR="00583DA6" w:rsidRDefault="006A45D9">
      <w:pPr>
        <w:ind w:firstLine="709"/>
        <w:jc w:val="both"/>
        <w:rPr>
          <w:rFonts w:ascii="Times New Roman" w:hAnsi="Times New Roman"/>
          <w:bCs/>
          <w:sz w:val="28"/>
          <w:szCs w:val="28"/>
        </w:rPr>
      </w:pPr>
      <w:r>
        <w:rPr>
          <w:rFonts w:ascii="Times New Roman" w:hAnsi="Times New Roman"/>
          <w:bCs/>
          <w:sz w:val="28"/>
          <w:szCs w:val="28"/>
        </w:rPr>
        <w:t>– 5 обучающих мероприятий для сотрудников городских (районных) информационно-консультационных центров по содействию деятельности социально ориентированных некоммерческих организаций.</w:t>
      </w:r>
    </w:p>
    <w:p w:rsidR="00583DA6" w:rsidRDefault="00583DA6">
      <w:pPr>
        <w:ind w:firstLine="709"/>
        <w:jc w:val="both"/>
        <w:rPr>
          <w:rFonts w:ascii="Times New Roman" w:eastAsia="Times New Roman" w:hAnsi="Times New Roman"/>
          <w:b/>
          <w:sz w:val="28"/>
          <w:szCs w:val="28"/>
          <w:lang w:eastAsia="ru-RU"/>
        </w:rPr>
      </w:pPr>
    </w:p>
    <w:p w:rsidR="00583DA6" w:rsidRDefault="00583DA6">
      <w:pPr>
        <w:ind w:firstLine="709"/>
        <w:jc w:val="both"/>
        <w:rPr>
          <w:rFonts w:ascii="Times New Roman" w:eastAsia="Times New Roman" w:hAnsi="Times New Roman"/>
          <w:b/>
          <w:sz w:val="28"/>
          <w:szCs w:val="28"/>
          <w:lang w:eastAsia="ru-RU"/>
        </w:rPr>
      </w:pPr>
    </w:p>
    <w:p w:rsidR="00583DA6" w:rsidRDefault="00583DA6">
      <w:pPr>
        <w:ind w:firstLine="709"/>
        <w:jc w:val="both"/>
        <w:rPr>
          <w:rFonts w:ascii="Times New Roman" w:eastAsia="Times New Roman" w:hAnsi="Times New Roman"/>
          <w:b/>
          <w:sz w:val="28"/>
          <w:szCs w:val="28"/>
          <w:lang w:eastAsia="ru-RU"/>
        </w:rPr>
      </w:pPr>
    </w:p>
    <w:p w:rsidR="00583DA6" w:rsidRDefault="00583DA6">
      <w:pPr>
        <w:ind w:firstLine="709"/>
        <w:jc w:val="both"/>
        <w:rPr>
          <w:rFonts w:ascii="Times New Roman" w:eastAsia="Times New Roman" w:hAnsi="Times New Roman"/>
          <w:b/>
          <w:sz w:val="28"/>
          <w:szCs w:val="28"/>
          <w:lang w:eastAsia="ru-RU"/>
        </w:rPr>
      </w:pPr>
    </w:p>
    <w:p w:rsidR="00583DA6" w:rsidRDefault="00583DA6">
      <w:pPr>
        <w:ind w:firstLine="709"/>
        <w:jc w:val="both"/>
        <w:rPr>
          <w:rFonts w:ascii="Times New Roman" w:eastAsia="Times New Roman" w:hAnsi="Times New Roman"/>
          <w:b/>
          <w:sz w:val="28"/>
          <w:szCs w:val="28"/>
          <w:lang w:eastAsia="ru-RU"/>
        </w:rPr>
      </w:pPr>
    </w:p>
    <w:p w:rsidR="00583DA6" w:rsidRDefault="006A45D9">
      <w:pPr>
        <w:pBdr>
          <w:top w:val="single" w:sz="18" w:space="1" w:color="000000"/>
        </w:pBdr>
        <w:ind w:firstLine="709"/>
        <w:jc w:val="both"/>
        <w:outlineLvl w:val="2"/>
        <w:rPr>
          <w:rFonts w:ascii="Times New Roman" w:eastAsia="Times New Roman" w:hAnsi="Times New Roman"/>
          <w:b/>
          <w:sz w:val="28"/>
          <w:szCs w:val="28"/>
          <w:lang w:eastAsia="ru-RU"/>
        </w:rPr>
      </w:pPr>
      <w:bookmarkStart w:id="8" w:name="_Toc132664198"/>
      <w:r>
        <w:rPr>
          <w:rFonts w:ascii="Times New Roman" w:eastAsia="Times New Roman" w:hAnsi="Times New Roman"/>
          <w:b/>
          <w:sz w:val="28"/>
          <w:szCs w:val="28"/>
          <w:lang w:eastAsia="ru-RU"/>
        </w:rPr>
        <w:t>Занятость и труд</w:t>
      </w:r>
      <w:bookmarkEnd w:id="8"/>
    </w:p>
    <w:p w:rsidR="00583DA6" w:rsidRDefault="00583DA6">
      <w:pPr>
        <w:ind w:firstLine="709"/>
        <w:jc w:val="both"/>
        <w:rPr>
          <w:rFonts w:ascii="Times New Roman" w:hAnsi="Times New Roman"/>
          <w:sz w:val="28"/>
          <w:szCs w:val="28"/>
        </w:rPr>
      </w:pPr>
    </w:p>
    <w:p w:rsidR="00583DA6" w:rsidRDefault="006A45D9">
      <w:pPr>
        <w:ind w:firstLine="709"/>
        <w:jc w:val="both"/>
        <w:rPr>
          <w:rFonts w:ascii="Times New Roman" w:hAnsi="Times New Roman"/>
          <w:sz w:val="28"/>
          <w:szCs w:val="28"/>
        </w:rPr>
      </w:pPr>
      <w:r>
        <w:rPr>
          <w:rFonts w:ascii="Times New Roman" w:hAnsi="Times New Roman"/>
          <w:sz w:val="28"/>
          <w:szCs w:val="28"/>
        </w:rPr>
        <w:t>По данным Министерства труда и развития кад</w:t>
      </w:r>
      <w:r>
        <w:rPr>
          <w:rFonts w:ascii="Times New Roman" w:hAnsi="Times New Roman"/>
          <w:sz w:val="28"/>
          <w:szCs w:val="28"/>
        </w:rPr>
        <w:t>рового потенциала Камчатского края в 2022 году в целях повышения эффективности службы занятости в рамках государственной программы Камчатского края «Содействие занятости населения Камчатского края» и национального проекта «Демография» завершена модернизаци</w:t>
      </w:r>
      <w:r>
        <w:rPr>
          <w:rFonts w:ascii="Times New Roman" w:hAnsi="Times New Roman"/>
          <w:sz w:val="28"/>
          <w:szCs w:val="28"/>
        </w:rPr>
        <w:t>я краевого государственного казенного учреждения Центр занятости населения города Петропавловска-Камчатского, и на его базе создан первый в Камчатском крае Кадровый центр.</w:t>
      </w:r>
    </w:p>
    <w:p w:rsidR="00583DA6" w:rsidRDefault="006A45D9">
      <w:pPr>
        <w:ind w:firstLine="709"/>
        <w:jc w:val="both"/>
        <w:rPr>
          <w:rFonts w:ascii="Times New Roman" w:hAnsi="Times New Roman"/>
          <w:sz w:val="28"/>
          <w:szCs w:val="28"/>
          <w:lang w:eastAsia="x-none"/>
        </w:rPr>
      </w:pPr>
      <w:r>
        <w:rPr>
          <w:rFonts w:ascii="Times New Roman" w:hAnsi="Times New Roman"/>
          <w:sz w:val="28"/>
          <w:szCs w:val="28"/>
          <w:lang w:eastAsia="x-none"/>
        </w:rPr>
        <w:t xml:space="preserve">Реализация мероприятий государственной программы направлена на повышение уровня </w:t>
      </w:r>
      <w:r>
        <w:rPr>
          <w:rFonts w:ascii="Times New Roman" w:hAnsi="Times New Roman"/>
          <w:sz w:val="28"/>
          <w:szCs w:val="28"/>
          <w:lang w:eastAsia="x-none"/>
        </w:rPr>
        <w:t>занятости населения Камчатского края, решение кадровых задач работодателей и обеспечение отраслей экономики и социальной сферы качественными профессиональными ресурсами, создание условий для профессиональной реализации граждан и улучшения их уровня жизни в</w:t>
      </w:r>
      <w:r>
        <w:rPr>
          <w:rFonts w:ascii="Times New Roman" w:hAnsi="Times New Roman"/>
          <w:sz w:val="28"/>
          <w:szCs w:val="28"/>
          <w:lang w:eastAsia="x-none"/>
        </w:rPr>
        <w:t xml:space="preserve"> современных условиях.</w:t>
      </w:r>
    </w:p>
    <w:p w:rsidR="00583DA6" w:rsidRDefault="006A45D9">
      <w:pPr>
        <w:ind w:firstLine="709"/>
        <w:jc w:val="both"/>
        <w:rPr>
          <w:rFonts w:ascii="Times New Roman" w:hAnsi="Times New Roman"/>
          <w:sz w:val="28"/>
          <w:szCs w:val="28"/>
        </w:rPr>
      </w:pPr>
      <w:r>
        <w:rPr>
          <w:rFonts w:ascii="Times New Roman" w:hAnsi="Times New Roman"/>
          <w:sz w:val="28"/>
          <w:szCs w:val="28"/>
        </w:rPr>
        <w:t xml:space="preserve">Государственной услугой по профессиональному обучению в 2022 году воспользовались 477 безработных граждан (в 2021 году – 770 человек), из них 183 человека прошли обучение в рамках национального проекта «Демография». Кроме того, в </w:t>
      </w:r>
      <w:r>
        <w:rPr>
          <w:rFonts w:ascii="Times New Roman" w:hAnsi="Times New Roman"/>
          <w:sz w:val="28"/>
          <w:szCs w:val="28"/>
        </w:rPr>
        <w:t>рамках национального проекта «Демография» обучились 480 граждан различных категорий. Доля занятых после завершения обучения составила 79,7%.</w:t>
      </w:r>
    </w:p>
    <w:p w:rsidR="00583DA6" w:rsidRDefault="006A45D9">
      <w:pPr>
        <w:pStyle w:val="aa"/>
        <w:spacing w:after="0"/>
        <w:ind w:left="0" w:firstLine="709"/>
        <w:jc w:val="both"/>
        <w:rPr>
          <w:rFonts w:ascii="Times New Roman" w:hAnsi="Times New Roman"/>
          <w:sz w:val="28"/>
          <w:szCs w:val="28"/>
        </w:rPr>
      </w:pPr>
      <w:r>
        <w:rPr>
          <w:rFonts w:ascii="Times New Roman" w:hAnsi="Times New Roman"/>
          <w:bCs/>
          <w:sz w:val="28"/>
          <w:szCs w:val="28"/>
        </w:rPr>
        <w:t xml:space="preserve">При поддержке органов службы занятости 62 человека начали реализацию собственных бизнес-проектов (в 2021 году – 45 </w:t>
      </w:r>
      <w:r>
        <w:rPr>
          <w:rFonts w:ascii="Times New Roman" w:hAnsi="Times New Roman"/>
          <w:bCs/>
          <w:sz w:val="28"/>
          <w:szCs w:val="28"/>
        </w:rPr>
        <w:t xml:space="preserve">человек), связанных с </w:t>
      </w:r>
      <w:r>
        <w:rPr>
          <w:rFonts w:ascii="Times New Roman" w:hAnsi="Times New Roman"/>
          <w:sz w:val="28"/>
          <w:szCs w:val="28"/>
        </w:rPr>
        <w:t>оказанием различных услуг населению, производством пищевых продуктов, выращиванием овощей, производством игр и игрушек, одежды, строительных материалов, деятельностью в области права, дополнительным образованием детей, организацией до</w:t>
      </w:r>
      <w:r>
        <w:rPr>
          <w:rFonts w:ascii="Times New Roman" w:hAnsi="Times New Roman"/>
          <w:sz w:val="28"/>
          <w:szCs w:val="28"/>
        </w:rPr>
        <w:t xml:space="preserve">суга и др. </w:t>
      </w:r>
    </w:p>
    <w:p w:rsidR="00583DA6" w:rsidRDefault="006A45D9">
      <w:pPr>
        <w:pStyle w:val="00"/>
        <w:ind w:firstLine="709"/>
        <w:rPr>
          <w:rFonts w:eastAsia="Times New Roman"/>
        </w:rPr>
      </w:pPr>
      <w:r>
        <w:t xml:space="preserve">Государственной услугой по профессиональной ориентации в отчетном периоде охвачено </w:t>
      </w:r>
      <w:r>
        <w:rPr>
          <w:lang w:val="ru-RU"/>
        </w:rPr>
        <w:t>92,5</w:t>
      </w:r>
      <w:r>
        <w:t>% обратившихся за содействием в трудоустройстве граждан</w:t>
      </w:r>
      <w:r>
        <w:rPr>
          <w:lang w:val="ru-RU"/>
        </w:rPr>
        <w:t xml:space="preserve"> (в 2021 году – 74,6%)</w:t>
      </w:r>
      <w:r>
        <w:t>. Услуги по социальной адаптации на рынке труда и психологической поддержке оказ</w:t>
      </w:r>
      <w:r>
        <w:t>аны 773 гражданам и 729 гражданам соответственно.</w:t>
      </w:r>
    </w:p>
    <w:p w:rsidR="00583DA6" w:rsidRDefault="006A45D9">
      <w:pPr>
        <w:pStyle w:val="00"/>
        <w:ind w:firstLine="709"/>
      </w:pPr>
      <w:r>
        <w:t xml:space="preserve">В целях расширения возможностей для трудоустройства граждан проведено </w:t>
      </w:r>
      <w:r>
        <w:rPr>
          <w:lang w:val="ru-RU"/>
        </w:rPr>
        <w:t>126</w:t>
      </w:r>
      <w:r>
        <w:t xml:space="preserve"> ярмар</w:t>
      </w:r>
      <w:r>
        <w:rPr>
          <w:lang w:val="ru-RU"/>
        </w:rPr>
        <w:t>ок</w:t>
      </w:r>
      <w:r>
        <w:t xml:space="preserve"> вакансий и учебных рабочих мест</w:t>
      </w:r>
      <w:r>
        <w:rPr>
          <w:lang w:val="ru-RU"/>
        </w:rPr>
        <w:t xml:space="preserve">. </w:t>
      </w:r>
      <w:r>
        <w:t xml:space="preserve">В ярмарках приняли участие </w:t>
      </w:r>
      <w:r>
        <w:rPr>
          <w:lang w:val="ru-RU"/>
        </w:rPr>
        <w:t>314</w:t>
      </w:r>
      <w:r>
        <w:t xml:space="preserve"> работодател</w:t>
      </w:r>
      <w:r>
        <w:rPr>
          <w:lang w:val="ru-RU"/>
        </w:rPr>
        <w:t>ей</w:t>
      </w:r>
      <w:r>
        <w:t>, которые представили более 2,</w:t>
      </w:r>
      <w:r>
        <w:rPr>
          <w:lang w:val="ru-RU"/>
        </w:rPr>
        <w:t>6</w:t>
      </w:r>
      <w:r>
        <w:t xml:space="preserve"> тыс. вакансий. </w:t>
      </w:r>
      <w:r>
        <w:t xml:space="preserve">Ярмарки посетили </w:t>
      </w:r>
      <w:r>
        <w:rPr>
          <w:lang w:val="ru-RU"/>
        </w:rPr>
        <w:t>3 633</w:t>
      </w:r>
      <w:r>
        <w:t xml:space="preserve"> человек</w:t>
      </w:r>
      <w:r>
        <w:rPr>
          <w:lang w:val="ru-RU"/>
        </w:rPr>
        <w:t>а</w:t>
      </w:r>
      <w:r>
        <w:t xml:space="preserve">, трудоустроено </w:t>
      </w:r>
      <w:r>
        <w:rPr>
          <w:lang w:val="ru-RU"/>
        </w:rPr>
        <w:t>1 255</w:t>
      </w:r>
      <w:r>
        <w:t xml:space="preserve"> граждан.</w:t>
      </w:r>
    </w:p>
    <w:p w:rsidR="00583DA6" w:rsidRDefault="006A45D9">
      <w:pPr>
        <w:pStyle w:val="00"/>
        <w:ind w:firstLine="709"/>
        <w:rPr>
          <w:lang w:val="ru-RU"/>
        </w:rPr>
      </w:pPr>
      <w:r>
        <w:rPr>
          <w:lang w:val="ru-RU"/>
        </w:rPr>
        <w:t xml:space="preserve">По итогам 2022 года </w:t>
      </w:r>
      <w:r>
        <w:rPr>
          <w:rFonts w:eastAsia="Times New Roman"/>
          <w:lang w:val="ru-RU"/>
        </w:rPr>
        <w:t>не</w:t>
      </w:r>
      <w:r>
        <w:rPr>
          <w:rFonts w:eastAsia="Times New Roman"/>
        </w:rPr>
        <w:t xml:space="preserve"> достигнуты</w:t>
      </w:r>
      <w:r>
        <w:rPr>
          <w:rFonts w:eastAsia="Times New Roman"/>
          <w:lang w:val="ru-RU"/>
        </w:rPr>
        <w:t xml:space="preserve"> целевые</w:t>
      </w:r>
      <w:r>
        <w:rPr>
          <w:rFonts w:eastAsia="Times New Roman"/>
        </w:rPr>
        <w:t xml:space="preserve"> значения </w:t>
      </w:r>
      <w:r>
        <w:rPr>
          <w:rFonts w:eastAsia="Times New Roman"/>
          <w:lang w:val="ru-RU"/>
        </w:rPr>
        <w:t>10</w:t>
      </w:r>
      <w:r>
        <w:rPr>
          <w:rFonts w:eastAsia="Times New Roman"/>
        </w:rPr>
        <w:t xml:space="preserve"> индикаторов из </w:t>
      </w:r>
      <w:r>
        <w:rPr>
          <w:rFonts w:eastAsia="Times New Roman"/>
          <w:lang w:val="ru-RU"/>
        </w:rPr>
        <w:t>40</w:t>
      </w:r>
      <w:r>
        <w:rPr>
          <w:rFonts w:eastAsia="Times New Roman"/>
        </w:rPr>
        <w:t>, утвержденных государственной п</w:t>
      </w:r>
      <w:r>
        <w:rPr>
          <w:rFonts w:eastAsia="Times New Roman"/>
          <w:lang w:val="ru-RU"/>
        </w:rPr>
        <w:t>рограммой</w:t>
      </w:r>
      <w:r>
        <w:rPr>
          <w:rFonts w:eastAsia="Times New Roman"/>
        </w:rPr>
        <w:t xml:space="preserve"> на 20</w:t>
      </w:r>
      <w:r>
        <w:rPr>
          <w:rFonts w:eastAsia="Times New Roman"/>
          <w:lang w:val="ru-RU"/>
        </w:rPr>
        <w:t>22</w:t>
      </w:r>
      <w:r>
        <w:rPr>
          <w:rFonts w:eastAsia="Times New Roman"/>
        </w:rPr>
        <w:t xml:space="preserve"> год</w:t>
      </w:r>
      <w:r>
        <w:rPr>
          <w:rFonts w:eastAsia="Times New Roman"/>
          <w:lang w:val="ru-RU"/>
        </w:rPr>
        <w:t xml:space="preserve"> (общий уровень достижения показателей составляет – 92,5%), в 2021 год</w:t>
      </w:r>
      <w:r>
        <w:rPr>
          <w:rFonts w:eastAsia="Times New Roman"/>
          <w:lang w:val="ru-RU"/>
        </w:rPr>
        <w:t>у не достигнуты целевые значения 7 показателей из 37.</w:t>
      </w:r>
    </w:p>
    <w:p w:rsidR="00583DA6" w:rsidRDefault="00583DA6">
      <w:pPr>
        <w:ind w:firstLine="709"/>
        <w:jc w:val="both"/>
        <w:rPr>
          <w:rFonts w:ascii="Times New Roman" w:eastAsia="Times New Roman" w:hAnsi="Times New Roman"/>
          <w:b/>
          <w:sz w:val="28"/>
          <w:szCs w:val="28"/>
          <w:lang w:eastAsia="ru-RU"/>
        </w:rPr>
      </w:pPr>
    </w:p>
    <w:p w:rsidR="00583DA6" w:rsidRDefault="00583DA6">
      <w:pPr>
        <w:ind w:firstLine="709"/>
        <w:jc w:val="both"/>
        <w:rPr>
          <w:rFonts w:ascii="Times New Roman" w:eastAsia="Times New Roman" w:hAnsi="Times New Roman"/>
          <w:b/>
          <w:sz w:val="28"/>
          <w:szCs w:val="28"/>
          <w:lang w:eastAsia="ru-RU"/>
        </w:rPr>
      </w:pPr>
    </w:p>
    <w:p w:rsidR="00583DA6" w:rsidRDefault="00583DA6">
      <w:pPr>
        <w:ind w:firstLine="709"/>
        <w:jc w:val="both"/>
        <w:rPr>
          <w:rFonts w:ascii="Times New Roman" w:eastAsia="Times New Roman" w:hAnsi="Times New Roman"/>
          <w:b/>
          <w:sz w:val="28"/>
          <w:szCs w:val="28"/>
          <w:lang w:eastAsia="ru-RU"/>
        </w:rPr>
      </w:pPr>
    </w:p>
    <w:p w:rsidR="00583DA6" w:rsidRDefault="00583DA6">
      <w:pPr>
        <w:ind w:firstLine="709"/>
        <w:jc w:val="both"/>
        <w:rPr>
          <w:rFonts w:ascii="Times New Roman" w:eastAsia="Times New Roman" w:hAnsi="Times New Roman"/>
          <w:b/>
          <w:sz w:val="28"/>
          <w:szCs w:val="28"/>
          <w:lang w:eastAsia="ru-RU"/>
        </w:rPr>
      </w:pPr>
    </w:p>
    <w:p w:rsidR="00583DA6" w:rsidRDefault="006A45D9">
      <w:pPr>
        <w:pBdr>
          <w:top w:val="single" w:sz="18" w:space="1" w:color="000000"/>
        </w:pBdr>
        <w:ind w:firstLine="709"/>
        <w:jc w:val="both"/>
        <w:outlineLvl w:val="2"/>
        <w:rPr>
          <w:rFonts w:ascii="Times New Roman" w:eastAsia="Times New Roman" w:hAnsi="Times New Roman"/>
          <w:b/>
          <w:sz w:val="28"/>
          <w:szCs w:val="28"/>
          <w:lang w:eastAsia="ru-RU"/>
        </w:rPr>
      </w:pPr>
      <w:bookmarkStart w:id="9" w:name="_Toc132664199"/>
      <w:r>
        <w:rPr>
          <w:rFonts w:ascii="Times New Roman" w:eastAsia="Times New Roman" w:hAnsi="Times New Roman"/>
          <w:b/>
          <w:sz w:val="28"/>
          <w:szCs w:val="28"/>
          <w:lang w:eastAsia="ru-RU"/>
        </w:rPr>
        <w:t>Эффективное государство</w:t>
      </w:r>
      <w:bookmarkEnd w:id="9"/>
    </w:p>
    <w:p w:rsidR="00583DA6" w:rsidRDefault="00583DA6">
      <w:pPr>
        <w:pBdr>
          <w:top w:val="single" w:sz="18" w:space="1" w:color="000000"/>
        </w:pBdr>
        <w:ind w:firstLine="709"/>
        <w:jc w:val="both"/>
        <w:rPr>
          <w:rFonts w:ascii="Times New Roman" w:eastAsia="Times New Roman" w:hAnsi="Times New Roman"/>
          <w:b/>
          <w:sz w:val="28"/>
          <w:szCs w:val="28"/>
          <w:lang w:eastAsia="ru-RU"/>
        </w:rPr>
      </w:pP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Повышение эффективности деятельности в сфере государственного управления в 2022 году обеспечивалось в рамках реализации государственных программ Камчатского края «Развитие э</w:t>
      </w:r>
      <w:r>
        <w:rPr>
          <w:rFonts w:ascii="Times New Roman" w:hAnsi="Times New Roman"/>
          <w:sz w:val="28"/>
          <w:szCs w:val="28"/>
        </w:rPr>
        <w:t>кономики и внешнеэкономической деятельности Камчатского края» и «Цифровая трансформация в Камчатском крае».</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 xml:space="preserve">Одним из важнейших результатов в сфере государственного управления является социальный эффект, под которым обычно понимается создание благоприятных </w:t>
      </w:r>
      <w:r>
        <w:rPr>
          <w:rFonts w:ascii="Times New Roman" w:hAnsi="Times New Roman"/>
          <w:sz w:val="28"/>
          <w:szCs w:val="28"/>
        </w:rPr>
        <w:t>условий для населения, в том числе и повышение качества предоставляемых государственных услуг.</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На базе КГКУ МФЦ организовано предоставление 518 услуг, в том числе 69 федеральных, 77 региональных и 372 муниципальных услуг. Преобладающими являются услуги Упр</w:t>
      </w:r>
      <w:r>
        <w:rPr>
          <w:rFonts w:ascii="Times New Roman" w:hAnsi="Times New Roman"/>
          <w:sz w:val="28"/>
          <w:szCs w:val="28"/>
        </w:rPr>
        <w:t xml:space="preserve">авления Росреестра по Камчатскому краю и Филиала ФГБУ «Федеральная кадастровая палата Росреестра» по Камчатскому краю, доля которых составляет около 19,3% от общего количества поступивших обращений за получением услуг. </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На получение услуг, выдачу результат</w:t>
      </w:r>
      <w:r>
        <w:rPr>
          <w:rFonts w:ascii="Times New Roman" w:hAnsi="Times New Roman"/>
          <w:sz w:val="28"/>
          <w:szCs w:val="28"/>
        </w:rPr>
        <w:t>ов предоставления услуг и консультации по вопросам предоставления услуг в 2022 году в МФЦ зарегистрировано более 560 тысяч запросов (в 2021 году – 520 тысяч).</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По итогам 2022 года уровень удовлетворенности граждан качеством предоставления услуг составило 97</w:t>
      </w:r>
      <w:r>
        <w:rPr>
          <w:rFonts w:ascii="Times New Roman" w:hAnsi="Times New Roman"/>
          <w:sz w:val="28"/>
          <w:szCs w:val="28"/>
        </w:rPr>
        <w:t>,38% (в соответствии с данными информационно аналитической системы мониторинга качества государственных услуг), целевое значение в соответствии с Указом Президента Российской Федерации от 7 мая 2012 года № 601 «Об основных направлениях совершенствования си</w:t>
      </w:r>
      <w:r>
        <w:rPr>
          <w:rFonts w:ascii="Times New Roman" w:hAnsi="Times New Roman"/>
          <w:sz w:val="28"/>
          <w:szCs w:val="28"/>
        </w:rPr>
        <w:t>стемы государственного управления» – не менее 90%. В целях определения уровня удовлетворенности качеством услуг в 2022 году собрано порядка 220 тысяч оценок.</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 xml:space="preserve">В отчетном году продолжена работа по развитию процедур взаимодействия в электронной форме с </w:t>
      </w:r>
      <w:r>
        <w:rPr>
          <w:rFonts w:ascii="Times New Roman" w:hAnsi="Times New Roman"/>
          <w:sz w:val="28"/>
          <w:szCs w:val="28"/>
        </w:rPr>
        <w:t>отдельными ведомствами в части организации электронного документооборота (например, переход на безбумажное взаимодействие с Росреестром).</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В течение 2022 года исполнительными органами Камчатского края продолжено активное использование современных информацио</w:t>
      </w:r>
      <w:r>
        <w:rPr>
          <w:rFonts w:ascii="Times New Roman" w:hAnsi="Times New Roman"/>
          <w:sz w:val="28"/>
          <w:szCs w:val="28"/>
        </w:rPr>
        <w:t>нных и телекоммуникационных технологий, внедрение, модернизация и использование информационных систем и оборудования.</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Сформировано и активно используется единое пространство электронного взаимодействия исполнительных органов Камчатского края, продолжен пер</w:t>
      </w:r>
      <w:r>
        <w:rPr>
          <w:rFonts w:ascii="Times New Roman" w:hAnsi="Times New Roman"/>
          <w:sz w:val="28"/>
          <w:szCs w:val="28"/>
        </w:rPr>
        <w:t>евод, повышение качества и предоставление государственных и муниципальных услуг в электронном виде, обеспечено непрерывное и бесперебойное функционирование инфраструктуры электронного правительства в Камчатском крае.</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 xml:space="preserve">В рамках мероприятий «Цифровая </w:t>
      </w:r>
      <w:r>
        <w:rPr>
          <w:rFonts w:ascii="Times New Roman" w:hAnsi="Times New Roman"/>
          <w:sz w:val="28"/>
          <w:szCs w:val="28"/>
        </w:rPr>
        <w:t>трансформация в Камчатском крае» осуществлены мероприятия по сопровождению, развитию и модернизации следующих информационных систем:</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 государственной информационной системы «Региональная система межведомственного электронного взаимодействия Камчатского кр</w:t>
      </w:r>
      <w:r>
        <w:rPr>
          <w:rFonts w:ascii="Times New Roman" w:hAnsi="Times New Roman"/>
          <w:sz w:val="28"/>
          <w:szCs w:val="28"/>
        </w:rPr>
        <w:t>ая»;</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 автоматизированной системы «Адресная социальная поддержка» (реализовано с учетом средств из федерального бюджета);</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 информационной системы учета и анализа инспекционной деятельности;</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 государственной информационной системы «Единая система электрон</w:t>
      </w:r>
      <w:r>
        <w:rPr>
          <w:rFonts w:ascii="Times New Roman" w:hAnsi="Times New Roman"/>
          <w:sz w:val="28"/>
          <w:szCs w:val="28"/>
        </w:rPr>
        <w:t>ного документооборота Камчатского края»;</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 государственной информационной системы «Официальный сайт Исполнительных органов государственной власти Камчатского края в сети Интернет»;</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 государственной информационной системы в области государственной гражданс</w:t>
      </w:r>
      <w:r>
        <w:rPr>
          <w:rFonts w:ascii="Times New Roman" w:hAnsi="Times New Roman"/>
          <w:sz w:val="28"/>
          <w:szCs w:val="28"/>
        </w:rPr>
        <w:t>кой службы Камчатского края «Единая краевая кадровая информационная система»;</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 информационной системы управления, мониторинга и контроля региональными проектами, входящими в состав национальных программ и проектов, а также инвестиционными проектами Камчат</w:t>
      </w:r>
      <w:r>
        <w:rPr>
          <w:rFonts w:ascii="Times New Roman" w:hAnsi="Times New Roman"/>
          <w:sz w:val="28"/>
          <w:szCs w:val="28"/>
        </w:rPr>
        <w:t>ского края;</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 государственной информационной системы «Управление мастер-данными организации»;</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 государственной информационной системы в сфере закупок товаров, работ, услуг для обеспечения нужд Камчатского края «АС «Госзаказ»;</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 информационной системы бухг</w:t>
      </w:r>
      <w:r>
        <w:rPr>
          <w:rFonts w:ascii="Times New Roman" w:hAnsi="Times New Roman"/>
          <w:sz w:val="28"/>
          <w:szCs w:val="28"/>
        </w:rPr>
        <w:t>алтерского учета и отчетности в КГКУ «Центр финансового обеспечения» на базе облачной инфраструктуры;</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 государственной информационной системы «АИСТ»;</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 государственной информационной системы «Многофункциональный центр»;</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 автоматизированной информационной</w:t>
      </w:r>
      <w:r>
        <w:rPr>
          <w:rFonts w:ascii="Times New Roman" w:hAnsi="Times New Roman"/>
          <w:sz w:val="28"/>
          <w:szCs w:val="28"/>
        </w:rPr>
        <w:t xml:space="preserve"> системы обеспечения мониторинга использования имущества Камчатского края;</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 регионального фрагмента единой информационной системы в сфере здравоохранения Камчатского края;</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 программного комплекса «Катарсис» версия 8;</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 государственной информационной сист</w:t>
      </w:r>
      <w:r>
        <w:rPr>
          <w:rFonts w:ascii="Times New Roman" w:hAnsi="Times New Roman"/>
          <w:sz w:val="28"/>
          <w:szCs w:val="28"/>
        </w:rPr>
        <w:t>емы Камчатского края «Региональная навигационная информационная система Камчатского края»;</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 информационной системы «Региональный портал по технологическому присоединению к электрическим сетям, к системам теплоснабжения, к централизованным системам водосна</w:t>
      </w:r>
      <w:r>
        <w:rPr>
          <w:rFonts w:ascii="Times New Roman" w:hAnsi="Times New Roman"/>
          <w:sz w:val="28"/>
          <w:szCs w:val="28"/>
        </w:rPr>
        <w:t>бжения и водоотведения, расположенным на территории Камчатского края»;</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 государственной информационной системы обеспечения градостроительной деятельности Камчатского края.</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В рамках национальной программы «Цифровая экономика Российской Федерации» реализовы</w:t>
      </w:r>
      <w:r>
        <w:rPr>
          <w:rFonts w:ascii="Times New Roman" w:hAnsi="Times New Roman"/>
          <w:sz w:val="28"/>
          <w:szCs w:val="28"/>
        </w:rPr>
        <w:t>вались:</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 Региональный проект «Цифровое государственное управление». Ключевым направлением реализации регионального проекта является направление государственных и муниципальных услуг. В 2022 году проведена работа по оптимизации 88 массовых социально значим</w:t>
      </w:r>
      <w:r>
        <w:rPr>
          <w:rFonts w:ascii="Times New Roman" w:hAnsi="Times New Roman"/>
          <w:sz w:val="28"/>
          <w:szCs w:val="28"/>
        </w:rPr>
        <w:t>ых услуг. Это такие услуги как запись в школу, запись в детский сад, земельные участки для многодетных семей, различные разрешения и уведомления, социальные льготы и выплаты. Данными услугами в анализируемом периоде воспользовались более 20 тысяч раз. На п</w:t>
      </w:r>
      <w:r>
        <w:rPr>
          <w:rFonts w:ascii="Times New Roman" w:hAnsi="Times New Roman"/>
          <w:sz w:val="28"/>
          <w:szCs w:val="28"/>
        </w:rPr>
        <w:t>ортале Госуслуг зарегистрированы 85% жителей Камчатского края. Камчатский край в 2022 году своевременно выполнил мероприятия по переводу 100% массовых социально значимых государственных и муниципальных услуг в электронный вид;</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 Региональный проект «Информ</w:t>
      </w:r>
      <w:r>
        <w:rPr>
          <w:rFonts w:ascii="Times New Roman" w:hAnsi="Times New Roman"/>
          <w:sz w:val="28"/>
          <w:szCs w:val="28"/>
        </w:rPr>
        <w:t>ационная безопасность». Внедрен единый комплексный сервис по обеспечению информационной безопасности в исполнительных органах Камчатского края, а также подведомственных им краевых государственных учреждениях, в рамках которого реализован ряд мероприятий, п</w:t>
      </w:r>
      <w:r>
        <w:rPr>
          <w:rFonts w:ascii="Times New Roman" w:hAnsi="Times New Roman"/>
          <w:sz w:val="28"/>
          <w:szCs w:val="28"/>
        </w:rPr>
        <w:t>озволяющих  обеспечить безопасное и устойчивое функционирование информационной инфраструктуры исполнительных органов Камчатского края, с целью недопущения дестабилизации деятельности исполнительных органов Камчатского края и подведомственных учреждений в р</w:t>
      </w:r>
      <w:r>
        <w:rPr>
          <w:rFonts w:ascii="Times New Roman" w:hAnsi="Times New Roman"/>
          <w:sz w:val="28"/>
          <w:szCs w:val="28"/>
        </w:rPr>
        <w:t>езультате деструктивных воздействий на объекты информатизации.</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В рамках обеспечения безопасной работы автоматизированных рабочих мест (АРМ) сотрудников Правительства, а также в рамках увеличения доли вложений в отечественное программное обеспечение запущен</w:t>
      </w:r>
      <w:r>
        <w:rPr>
          <w:rFonts w:ascii="Times New Roman" w:hAnsi="Times New Roman"/>
          <w:sz w:val="28"/>
          <w:szCs w:val="28"/>
        </w:rPr>
        <w:t>а процедура по замене общесистемного программного обеспечения на отечественные программные продукты. В 2022 году проведены мероприятия по проектированию перевода 400 АРМ на отечественную операционную систему. Реализация проекта завершится в апреле 2023 год</w:t>
      </w:r>
      <w:r>
        <w:rPr>
          <w:rFonts w:ascii="Times New Roman" w:hAnsi="Times New Roman"/>
          <w:sz w:val="28"/>
          <w:szCs w:val="28"/>
        </w:rPr>
        <w:t>а.</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Неотъемлемой и важной задачей Правительства является защита обрабатываемых данных, данных жителей региона, сохранность государственных информационных систем. После начала специальной военной операции количество кибератак на ресурсы Правительства увеличи</w:t>
      </w:r>
      <w:r>
        <w:rPr>
          <w:rFonts w:ascii="Times New Roman" w:hAnsi="Times New Roman"/>
          <w:sz w:val="28"/>
          <w:szCs w:val="28"/>
        </w:rPr>
        <w:t>лось в несколько раз. В рамках услуги по обеспечению единого комплексного сервиса по обеспечению информационной безопасности исполнительных органов государственной власти обеспечивается защита от сетевых атак (DDOS-атак). Предоставляются: сервисы защиты эл</w:t>
      </w:r>
      <w:r>
        <w:rPr>
          <w:rFonts w:ascii="Times New Roman" w:hAnsi="Times New Roman"/>
          <w:sz w:val="28"/>
          <w:szCs w:val="28"/>
        </w:rPr>
        <w:t>ектронной почты, сервис по контролю и анализу защищенности АРМ, сервис обнаружения, расследования и реагирования на сложные киберугрозы, сервис по защите веб-приложений, сервис по управлению навыками кибербезопасности, сервис по защите от продвинутых угроз</w:t>
      </w:r>
      <w:r>
        <w:rPr>
          <w:rFonts w:ascii="Times New Roman" w:hAnsi="Times New Roman"/>
          <w:sz w:val="28"/>
          <w:szCs w:val="28"/>
        </w:rPr>
        <w:t>, сервис по внешнему тестированию, сервис по мониторингу инцидентов ИБ, сервис анализа сетевого трафика.</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В целях повышения эффективности управления государственным имуществом Камчатского края реализовывались мероприятия государственной программы Камчатског</w:t>
      </w:r>
      <w:r>
        <w:rPr>
          <w:rFonts w:ascii="Times New Roman" w:hAnsi="Times New Roman"/>
          <w:sz w:val="28"/>
          <w:szCs w:val="28"/>
        </w:rPr>
        <w:t>о края «Совершенствование управления имуществом, находящимся в государственной собственности Камчатского края».</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В 2022 году на территории Камчатского края проведена государственная кадастровая оценка и утверждены результаты одновременно в отношении всех уч</w:t>
      </w:r>
      <w:r>
        <w:rPr>
          <w:rFonts w:ascii="Times New Roman" w:hAnsi="Times New Roman"/>
          <w:sz w:val="28"/>
          <w:szCs w:val="28"/>
        </w:rPr>
        <w:t>тенных в Едином государственном реестре недвижимости земельных участков – 120 415.</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 xml:space="preserve">Осуществлена государственная регистрация права собственности Камчатского края на 190 объектов недвижимого имущества. </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Проводилась работа по передаче имущества при разграниче</w:t>
      </w:r>
      <w:r>
        <w:rPr>
          <w:rFonts w:ascii="Times New Roman" w:hAnsi="Times New Roman"/>
          <w:sz w:val="28"/>
          <w:szCs w:val="28"/>
        </w:rPr>
        <w:t>нии полномочий между органами государственной власти и органами местного самоуправления.</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 xml:space="preserve">В соответствии с Планом графиком проверок использования по целевому назначению и обеспечение сохранности имущества, находящегося в государственной собственности </w:t>
      </w:r>
      <w:r>
        <w:rPr>
          <w:rFonts w:ascii="Times New Roman" w:hAnsi="Times New Roman"/>
          <w:sz w:val="28"/>
          <w:szCs w:val="28"/>
        </w:rPr>
        <w:t>Камчатского края, проведены 39 плановых проверок.</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В рамках реализации Закона Камчатского края от 03.03.2021 № 562 «О предоставлении земельных участков в собственность гражданам Российской Федерации, имеющим трех и более детей, в Камчатском крае» ведение уч</w:t>
      </w:r>
      <w:r>
        <w:rPr>
          <w:rFonts w:ascii="Times New Roman" w:hAnsi="Times New Roman"/>
          <w:sz w:val="28"/>
          <w:szCs w:val="28"/>
        </w:rPr>
        <w:t>ета многодетных семей осуществляется уполномоченными органами с использованием государственной информационной системы Камчатского края «Формирование и ведение реестра многодетных семей, имеющих право на получение земельных участков в собственность бесплатн</w:t>
      </w:r>
      <w:r>
        <w:rPr>
          <w:rFonts w:ascii="Times New Roman" w:hAnsi="Times New Roman"/>
          <w:sz w:val="28"/>
          <w:szCs w:val="28"/>
        </w:rPr>
        <w:t xml:space="preserve">о» (далее – ГИС Реестр). </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 xml:space="preserve">ГИС Реестр позволила оптимизировать работу органов местного самоуправления посредством исключения необходимости направления значительного количества межведомственных запросов и создания возможности получения постоянного доступа к </w:t>
      </w:r>
      <w:r>
        <w:rPr>
          <w:rFonts w:ascii="Times New Roman" w:hAnsi="Times New Roman"/>
          <w:sz w:val="28"/>
          <w:szCs w:val="28"/>
        </w:rPr>
        <w:t>необходимым сведениям.</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В 2022 году ГИС Реестр прошла проверку на соответствие требованиям по защите информации, по результатам которой выдан соответствующий аттестат. За период эксплуатации система показала надежную и эффективную работу.</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В рамках реализаци</w:t>
      </w:r>
      <w:r>
        <w:rPr>
          <w:rFonts w:ascii="Times New Roman" w:hAnsi="Times New Roman"/>
          <w:sz w:val="28"/>
          <w:szCs w:val="28"/>
        </w:rPr>
        <w:t>и Закона Камчатского края от 03.03.2021 № 562 на учет поставлено 975 семей, земельные участки получила 251 семья.</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Завершены работы по координатному описанию границ Карагинского муниципального района и Олюторского муниципального района. Сведения о местополо</w:t>
      </w:r>
      <w:r>
        <w:rPr>
          <w:rFonts w:ascii="Times New Roman" w:hAnsi="Times New Roman"/>
          <w:sz w:val="28"/>
          <w:szCs w:val="28"/>
        </w:rPr>
        <w:t>жении границ внесены в ЕГРН. Работы по координатному описанию границы между Камчатским краем и Магаданской областью продолжены.</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Комплексные кадастровые работы в отношении 41:05:0101046 кадастрового квартала, расположенного на территории Елизовского муницип</w:t>
      </w:r>
      <w:r>
        <w:rPr>
          <w:rFonts w:ascii="Times New Roman" w:hAnsi="Times New Roman"/>
          <w:sz w:val="28"/>
          <w:szCs w:val="28"/>
        </w:rPr>
        <w:t>ального района, продолжаются. По результатам завершения работ в Единый государственный реестр недвижимости будет внесено более 1000 объектов недвижимости.</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По результатам деятельности хозяйственных обществ и проведенных годовых собраний в 2022 году в краево</w:t>
      </w:r>
      <w:r>
        <w:rPr>
          <w:rFonts w:ascii="Times New Roman" w:hAnsi="Times New Roman"/>
          <w:sz w:val="28"/>
          <w:szCs w:val="28"/>
        </w:rPr>
        <w:t>й бюджет поступило доходов виде дивидендов на сумму 8 536,7 тыс. рублей, что на 1 711,7 тыс. рублей больше, чем в 2021 году.</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В соответствии с Федеральным законом от 14.11.2002 № 161-ФЗ «О государственных и муниципальных унитарных предприятиях» Министерство</w:t>
      </w:r>
      <w:r>
        <w:rPr>
          <w:rFonts w:ascii="Times New Roman" w:hAnsi="Times New Roman"/>
          <w:sz w:val="28"/>
          <w:szCs w:val="28"/>
        </w:rPr>
        <w:t>м имущественных и земельных отношений Камчатского края проанализировано и согласовано 68 сделок, совершаемых государственными унитарными предприятиями Камчатского края в ходе финансово-хозяйственной деятельности.</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По итогам финансово-хозяйственной деятельно</w:t>
      </w:r>
      <w:r>
        <w:rPr>
          <w:rFonts w:ascii="Times New Roman" w:hAnsi="Times New Roman"/>
          <w:sz w:val="28"/>
          <w:szCs w:val="28"/>
        </w:rPr>
        <w:t>сти государственных унитарных предприятий Камчатского края в 2022 году в краевой бюджет поступили доходы в сумме 15 366,2 тыс. рублей, что на 3 209,2 тыс. рублей больше, чем в 2021 году</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Во исполнение требований федерального законодательства о защите конкур</w:t>
      </w:r>
      <w:r>
        <w:rPr>
          <w:rFonts w:ascii="Times New Roman" w:hAnsi="Times New Roman"/>
          <w:sz w:val="28"/>
          <w:szCs w:val="28"/>
        </w:rPr>
        <w:t>енции, устанавливающих запрет на создание, реорганизацию и деятельность на конкурентных рынках государственных и муниципальных унитарных предприятий, по согласованию с УФАС по Камчатскому краю утвержден План мероприятий Камчатского края на период до 1 янва</w:t>
      </w:r>
      <w:r>
        <w:rPr>
          <w:rFonts w:ascii="Times New Roman" w:hAnsi="Times New Roman"/>
          <w:sz w:val="28"/>
          <w:szCs w:val="28"/>
        </w:rPr>
        <w:t>ря 2025 года по реформированию унитарных предприятий Камчатского края. Всего в План включено 47 предприятий, 12 из которых – краевые, а 35 – муниципальные.</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В результате реализации мероприятий Плана большая часть предприятий будет преобразована в хозяйствен</w:t>
      </w:r>
      <w:r>
        <w:rPr>
          <w:rFonts w:ascii="Times New Roman" w:hAnsi="Times New Roman"/>
          <w:sz w:val="28"/>
          <w:szCs w:val="28"/>
        </w:rPr>
        <w:t>ные общества либо ликвидирована. Сохранению подлежат лишь унитарные предприятия, осуществляющие обеспечение жизнедеятельности населения в районах Крайнего Севера и приравненных к ним местностях.</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В 2022 году завершена приватизация ГУП «Камчатэнергоснаб» пос</w:t>
      </w:r>
      <w:r>
        <w:rPr>
          <w:rFonts w:ascii="Times New Roman" w:hAnsi="Times New Roman"/>
          <w:sz w:val="28"/>
          <w:szCs w:val="28"/>
        </w:rPr>
        <w:t xml:space="preserve">редством преобразования в акционерное общество «Камчатэнергоснаб» со 100% государственным участием и переименовано в АО «Каминжиниринг» по решению единственного акционера. </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В декабре 2022 года принято решение об условиях приватизации предприятий:</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 ГУП «Ка</w:t>
      </w:r>
      <w:r>
        <w:rPr>
          <w:rFonts w:ascii="Times New Roman" w:hAnsi="Times New Roman"/>
          <w:sz w:val="28"/>
          <w:szCs w:val="28"/>
        </w:rPr>
        <w:t>мчатскгражданпроект», в отношение которого прекращена процедура банкротства, в апреле утверждено мировое соглашение;</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 ГУП «Спецтранс».</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Оба предприятия будут преобразованы в акционерные общества со 100% государственным участием.</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 xml:space="preserve">Приватизация ГУП </w:t>
      </w:r>
      <w:r>
        <w:rPr>
          <w:rFonts w:ascii="Times New Roman" w:hAnsi="Times New Roman"/>
          <w:sz w:val="28"/>
          <w:szCs w:val="28"/>
        </w:rPr>
        <w:t>«Камчатский водоканал» перенесена на 2023 год в связи с необходимостью корректировки бухгалтерской отчетности предприятия по результатам проведенного аудита населения в районах Крайнего Севера и приравненных к ним местностях.</w:t>
      </w:r>
    </w:p>
    <w:p w:rsidR="00583DA6" w:rsidRDefault="00583DA6">
      <w:pPr>
        <w:ind w:firstLine="709"/>
        <w:jc w:val="both"/>
        <w:rPr>
          <w:rFonts w:ascii="Times New Roman" w:hAnsi="Times New Roman"/>
          <w:b/>
          <w:sz w:val="28"/>
          <w:szCs w:val="28"/>
        </w:rPr>
      </w:pPr>
    </w:p>
    <w:p w:rsidR="00583DA6" w:rsidRDefault="006A45D9">
      <w:pPr>
        <w:pBdr>
          <w:top w:val="single" w:sz="18" w:space="1" w:color="000000"/>
        </w:pBdr>
        <w:ind w:firstLine="709"/>
        <w:jc w:val="both"/>
        <w:outlineLvl w:val="2"/>
        <w:rPr>
          <w:rFonts w:ascii="Times New Roman" w:hAnsi="Times New Roman"/>
          <w:b/>
          <w:sz w:val="28"/>
          <w:szCs w:val="28"/>
        </w:rPr>
      </w:pPr>
      <w:bookmarkStart w:id="10" w:name="_Toc132664200"/>
      <w:r>
        <w:rPr>
          <w:rFonts w:ascii="Times New Roman" w:hAnsi="Times New Roman"/>
          <w:b/>
          <w:sz w:val="28"/>
          <w:szCs w:val="28"/>
        </w:rPr>
        <w:t>Сельское хозяйство</w:t>
      </w:r>
      <w:bookmarkEnd w:id="10"/>
    </w:p>
    <w:p w:rsidR="00583DA6" w:rsidRDefault="00583DA6">
      <w:pPr>
        <w:ind w:firstLine="709"/>
        <w:jc w:val="both"/>
        <w:rPr>
          <w:rFonts w:ascii="Times New Roman" w:hAnsi="Times New Roman"/>
          <w:sz w:val="28"/>
          <w:szCs w:val="28"/>
        </w:rPr>
      </w:pPr>
    </w:p>
    <w:p w:rsidR="00583DA6" w:rsidRDefault="006A45D9">
      <w:pPr>
        <w:widowControl w:val="0"/>
        <w:ind w:firstLine="709"/>
        <w:jc w:val="both"/>
        <w:rPr>
          <w:rFonts w:ascii="Times New Roman" w:hAnsi="Times New Roman"/>
          <w:sz w:val="28"/>
          <w:szCs w:val="28"/>
          <w:lang w:eastAsia="ru-RU"/>
        </w:rPr>
      </w:pPr>
      <w:r>
        <w:rPr>
          <w:rFonts w:ascii="Times New Roman" w:hAnsi="Times New Roman"/>
          <w:sz w:val="28"/>
          <w:szCs w:val="28"/>
        </w:rPr>
        <w:t>По итогам</w:t>
      </w:r>
      <w:r>
        <w:rPr>
          <w:rFonts w:ascii="Times New Roman" w:hAnsi="Times New Roman"/>
          <w:sz w:val="28"/>
          <w:szCs w:val="28"/>
        </w:rPr>
        <w:t xml:space="preserve"> реализации государственной программы Камчатского края «Развитие сельского хозяйства и регулирование рынков сельскохозяйственной продукции, сырья и продовольствия Камчатского края» за 2022 год достигнуты следующие результаты. Данные, указанные в отчете, пр</w:t>
      </w:r>
      <w:r>
        <w:rPr>
          <w:rFonts w:ascii="Times New Roman" w:hAnsi="Times New Roman"/>
          <w:sz w:val="28"/>
          <w:szCs w:val="28"/>
        </w:rPr>
        <w:t>едставлены в соответствии с оперативной статистической информацией за 2022 год и являются предварительными.</w:t>
      </w:r>
    </w:p>
    <w:p w:rsidR="00583DA6" w:rsidRDefault="006A45D9">
      <w:pPr>
        <w:widowControl w:val="0"/>
        <w:ind w:firstLine="709"/>
        <w:jc w:val="both"/>
        <w:rPr>
          <w:rFonts w:ascii="Times New Roman" w:hAnsi="Times New Roman"/>
          <w:b/>
          <w:i/>
          <w:sz w:val="28"/>
          <w:szCs w:val="28"/>
        </w:rPr>
      </w:pPr>
      <w:r>
        <w:rPr>
          <w:rFonts w:ascii="Times New Roman" w:hAnsi="Times New Roman"/>
          <w:sz w:val="28"/>
          <w:szCs w:val="28"/>
        </w:rPr>
        <w:t>Объем производства валовой продукции сельского хозяйства в стоимостном выражении по предварительным данным составил 100,9% в сопоставимых ценах к ур</w:t>
      </w:r>
      <w:r>
        <w:rPr>
          <w:rFonts w:ascii="Times New Roman" w:hAnsi="Times New Roman"/>
          <w:sz w:val="28"/>
          <w:szCs w:val="28"/>
        </w:rPr>
        <w:t>овню прошлого года.</w:t>
      </w:r>
    </w:p>
    <w:p w:rsidR="00583DA6" w:rsidRDefault="006A45D9">
      <w:pPr>
        <w:widowControl w:val="0"/>
        <w:spacing w:line="276" w:lineRule="auto"/>
        <w:jc w:val="both"/>
        <w:rPr>
          <w:rFonts w:ascii="Times New Roman" w:hAnsi="Times New Roman"/>
          <w:sz w:val="28"/>
          <w:szCs w:val="28"/>
        </w:rPr>
      </w:pPr>
      <w:r>
        <w:rPr>
          <w:noProof/>
          <w:lang w:eastAsia="ru-RU"/>
        </w:rPr>
        <w:drawing>
          <wp:inline distT="0" distB="0" distL="0" distR="0">
            <wp:extent cx="6040120" cy="3387725"/>
            <wp:effectExtent l="0" t="0" r="0" b="0"/>
            <wp:docPr id="1" name="Объект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83DA6" w:rsidRDefault="006A45D9">
      <w:pPr>
        <w:widowControl w:val="0"/>
        <w:spacing w:line="276" w:lineRule="auto"/>
        <w:ind w:firstLine="709"/>
        <w:jc w:val="center"/>
        <w:rPr>
          <w:rFonts w:ascii="Times New Roman" w:hAnsi="Times New Roman"/>
          <w:sz w:val="28"/>
          <w:szCs w:val="28"/>
        </w:rPr>
      </w:pPr>
      <w:r>
        <w:rPr>
          <w:rFonts w:ascii="Times New Roman" w:hAnsi="Times New Roman"/>
          <w:sz w:val="28"/>
          <w:szCs w:val="28"/>
        </w:rPr>
        <w:t>Рисунок 1. Индексы производства продукции сельского хозяйства всех категорий с 2018 – 2022 гг., % в сопоставимых ценах к уровню прошлого года</w:t>
      </w:r>
    </w:p>
    <w:p w:rsidR="00583DA6" w:rsidRDefault="00583DA6">
      <w:pPr>
        <w:widowControl w:val="0"/>
        <w:spacing w:line="276" w:lineRule="auto"/>
        <w:ind w:firstLine="709"/>
        <w:jc w:val="center"/>
        <w:rPr>
          <w:rFonts w:ascii="Times New Roman" w:hAnsi="Times New Roman"/>
          <w:sz w:val="28"/>
          <w:szCs w:val="28"/>
        </w:rPr>
      </w:pPr>
    </w:p>
    <w:p w:rsidR="00583DA6" w:rsidRDefault="006A45D9">
      <w:pPr>
        <w:widowControl w:val="0"/>
        <w:spacing w:line="276" w:lineRule="auto"/>
        <w:ind w:firstLine="709"/>
        <w:jc w:val="both"/>
        <w:rPr>
          <w:rFonts w:ascii="Times New Roman" w:hAnsi="Times New Roman"/>
          <w:b/>
          <w:i/>
          <w:sz w:val="28"/>
          <w:szCs w:val="28"/>
        </w:rPr>
      </w:pPr>
      <w:r>
        <w:rPr>
          <w:rFonts w:ascii="Times New Roman" w:hAnsi="Times New Roman"/>
          <w:sz w:val="28"/>
          <w:szCs w:val="28"/>
        </w:rPr>
        <w:t xml:space="preserve">Среднемесячная заработная плата работников сельского хозяйства (без субъектов малого предпринимательства) по итогам 2022 года составила 67 438,3 рублей. </w:t>
      </w:r>
      <w:r>
        <w:rPr>
          <w:rFonts w:ascii="Times New Roman" w:hAnsi="Times New Roman"/>
          <w:b/>
          <w:bCs/>
          <w:i/>
          <w:sz w:val="28"/>
          <w:szCs w:val="28"/>
        </w:rPr>
        <w:t>(</w:t>
      </w:r>
      <w:r>
        <w:rPr>
          <w:rFonts w:ascii="Times New Roman" w:hAnsi="Times New Roman"/>
          <w:b/>
          <w:i/>
          <w:sz w:val="28"/>
          <w:szCs w:val="28"/>
        </w:rPr>
        <w:t>Целевой показатель на 2022 год – 43 720,0 рублей)</w:t>
      </w:r>
      <w:r>
        <w:rPr>
          <w:rFonts w:ascii="Times New Roman" w:hAnsi="Times New Roman"/>
          <w:b/>
          <w:bCs/>
          <w:i/>
          <w:sz w:val="28"/>
          <w:szCs w:val="28"/>
        </w:rPr>
        <w:t>.</w:t>
      </w:r>
    </w:p>
    <w:p w:rsidR="00583DA6" w:rsidRDefault="006A45D9">
      <w:pPr>
        <w:ind w:right="-2" w:firstLine="709"/>
        <w:jc w:val="both"/>
        <w:rPr>
          <w:rFonts w:ascii="Times New Roman" w:hAnsi="Times New Roman"/>
          <w:sz w:val="28"/>
          <w:szCs w:val="28"/>
        </w:rPr>
      </w:pPr>
      <w:r>
        <w:rPr>
          <w:rFonts w:ascii="Times New Roman" w:hAnsi="Times New Roman"/>
          <w:sz w:val="28"/>
          <w:szCs w:val="28"/>
        </w:rPr>
        <w:t>Сельхозтоваропроизводители успешно провели кормозаг</w:t>
      </w:r>
      <w:r>
        <w:rPr>
          <w:rFonts w:ascii="Times New Roman" w:hAnsi="Times New Roman"/>
          <w:sz w:val="28"/>
          <w:szCs w:val="28"/>
        </w:rPr>
        <w:t xml:space="preserve">отовительную кампанию. В целом хозяйствами всех категорий края заготовлено 141 021,92 центнеров кормовых единиц. Всего заготовлено свыше 143,3 тысяч центнеров кормовых единиц грубых и сочных кормов (100,4 % к уровню 2021 года). </w:t>
      </w:r>
    </w:p>
    <w:p w:rsidR="00583DA6" w:rsidRDefault="006A45D9">
      <w:pPr>
        <w:spacing w:line="276" w:lineRule="auto"/>
        <w:ind w:firstLine="709"/>
        <w:jc w:val="both"/>
        <w:rPr>
          <w:rFonts w:ascii="Times New Roman" w:hAnsi="Times New Roman"/>
          <w:sz w:val="28"/>
          <w:szCs w:val="28"/>
          <w:lang w:eastAsia="ru-RU"/>
        </w:rPr>
      </w:pPr>
      <w:r>
        <w:rPr>
          <w:rFonts w:ascii="Times New Roman" w:hAnsi="Times New Roman"/>
          <w:sz w:val="28"/>
          <w:szCs w:val="28"/>
        </w:rPr>
        <w:t>Снижение показателей произв</w:t>
      </w:r>
      <w:r>
        <w:rPr>
          <w:rFonts w:ascii="Times New Roman" w:hAnsi="Times New Roman"/>
          <w:sz w:val="28"/>
          <w:szCs w:val="28"/>
        </w:rPr>
        <w:t>одства картофеля и овощей в СХО и К(Ф)Х в сравнении с уровнем 2021 года обусловлено сокращением размера посевных площадей (занятых картофелем – в хозяйствах всех категорий, овощами – в хозяйствах населения), а также особенностями методик статистического уч</w:t>
      </w:r>
      <w:r>
        <w:rPr>
          <w:rFonts w:ascii="Times New Roman" w:hAnsi="Times New Roman"/>
          <w:sz w:val="28"/>
          <w:szCs w:val="28"/>
        </w:rPr>
        <w:t>ета, применяемых Территориальным органом Федеральной службы государственной статистики по Камчатскому краю при расчете производства продукции растениеводства в хозяйствах населения (метод выборки и экстраполяции результатов на генеральную совокупность).</w:t>
      </w:r>
    </w:p>
    <w:p w:rsidR="00583DA6" w:rsidRDefault="006A45D9">
      <w:pPr>
        <w:spacing w:line="276" w:lineRule="auto"/>
        <w:jc w:val="center"/>
        <w:rPr>
          <w:rFonts w:ascii="Times New Roman" w:hAnsi="Times New Roman"/>
          <w:sz w:val="28"/>
          <w:szCs w:val="28"/>
        </w:rPr>
      </w:pPr>
      <w:r>
        <w:rPr>
          <w:noProof/>
          <w:lang w:eastAsia="ru-RU"/>
        </w:rPr>
        <w:drawing>
          <wp:inline distT="0" distB="0" distL="0" distR="0">
            <wp:extent cx="6089015" cy="5133975"/>
            <wp:effectExtent l="0" t="0" r="0" b="0"/>
            <wp:docPr id="2" name="Объект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83DA6" w:rsidRDefault="006A45D9">
      <w:pPr>
        <w:spacing w:line="276" w:lineRule="auto"/>
        <w:ind w:firstLine="709"/>
        <w:jc w:val="center"/>
        <w:rPr>
          <w:rFonts w:ascii="Times New Roman" w:hAnsi="Times New Roman"/>
          <w:sz w:val="28"/>
          <w:szCs w:val="28"/>
        </w:rPr>
      </w:pPr>
      <w:r>
        <w:rPr>
          <w:rFonts w:ascii="Times New Roman" w:hAnsi="Times New Roman"/>
          <w:sz w:val="28"/>
          <w:szCs w:val="28"/>
        </w:rPr>
        <w:t>Рисунок 2. Производство сельскохозяйственной продукции хозяйствами всех категорий в 2018 – 2022 гг, тыс. тонн.</w:t>
      </w:r>
    </w:p>
    <w:p w:rsidR="00583DA6" w:rsidRDefault="00583DA6">
      <w:pPr>
        <w:spacing w:line="276" w:lineRule="auto"/>
        <w:ind w:firstLine="709"/>
        <w:jc w:val="both"/>
        <w:rPr>
          <w:rFonts w:ascii="Times New Roman" w:hAnsi="Times New Roman"/>
          <w:sz w:val="28"/>
          <w:szCs w:val="28"/>
          <w:lang w:eastAsia="ru-RU"/>
        </w:rPr>
      </w:pPr>
    </w:p>
    <w:p w:rsidR="00583DA6" w:rsidRDefault="006A45D9">
      <w:pPr>
        <w:spacing w:line="276" w:lineRule="auto"/>
        <w:ind w:firstLine="709"/>
        <w:jc w:val="both"/>
        <w:rPr>
          <w:rFonts w:ascii="Times New Roman" w:hAnsi="Times New Roman"/>
          <w:sz w:val="28"/>
          <w:szCs w:val="28"/>
          <w:lang w:eastAsia="ru-RU"/>
        </w:rPr>
      </w:pPr>
      <w:r>
        <w:rPr>
          <w:rFonts w:ascii="Times New Roman" w:hAnsi="Times New Roman"/>
          <w:sz w:val="28"/>
          <w:szCs w:val="28"/>
        </w:rPr>
        <w:t>Производство в сельскохозяйственных организациях по итогам 2022 года, в сравнении с 2021 годом, приведены на рисунке 3.</w:t>
      </w:r>
    </w:p>
    <w:p w:rsidR="00583DA6" w:rsidRDefault="006A45D9">
      <w:pPr>
        <w:spacing w:line="276" w:lineRule="auto"/>
        <w:jc w:val="both"/>
        <w:rPr>
          <w:rFonts w:ascii="Times New Roman" w:hAnsi="Times New Roman"/>
          <w:sz w:val="28"/>
          <w:szCs w:val="28"/>
        </w:rPr>
      </w:pPr>
      <w:r>
        <w:rPr>
          <w:noProof/>
          <w:lang w:eastAsia="ru-RU"/>
        </w:rPr>
        <w:drawing>
          <wp:inline distT="0" distB="0" distL="0" distR="0">
            <wp:extent cx="6122035" cy="5971540"/>
            <wp:effectExtent l="0" t="0" r="0" b="0"/>
            <wp:docPr id="3" name="Объект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83DA6" w:rsidRDefault="006A45D9">
      <w:pPr>
        <w:spacing w:line="276" w:lineRule="auto"/>
        <w:ind w:firstLine="709"/>
        <w:jc w:val="center"/>
        <w:rPr>
          <w:rFonts w:ascii="Times New Roman" w:hAnsi="Times New Roman"/>
          <w:sz w:val="28"/>
          <w:szCs w:val="28"/>
        </w:rPr>
      </w:pPr>
      <w:r>
        <w:rPr>
          <w:rFonts w:ascii="Times New Roman" w:hAnsi="Times New Roman"/>
          <w:sz w:val="28"/>
          <w:szCs w:val="28"/>
        </w:rPr>
        <w:t>Рисунок 3. Производств</w:t>
      </w:r>
      <w:r>
        <w:rPr>
          <w:rFonts w:ascii="Times New Roman" w:hAnsi="Times New Roman"/>
          <w:sz w:val="28"/>
          <w:szCs w:val="28"/>
        </w:rPr>
        <w:t>о продукции животноводства в хозяйствах всех категорий с 2018 – 2022 гг.</w:t>
      </w:r>
    </w:p>
    <w:p w:rsidR="00583DA6" w:rsidRDefault="00583DA6">
      <w:pPr>
        <w:spacing w:line="276" w:lineRule="auto"/>
        <w:ind w:firstLine="709"/>
        <w:jc w:val="both"/>
        <w:rPr>
          <w:rFonts w:ascii="Times New Roman" w:hAnsi="Times New Roman"/>
          <w:sz w:val="28"/>
          <w:szCs w:val="28"/>
        </w:rPr>
      </w:pPr>
    </w:p>
    <w:p w:rsidR="00583DA6" w:rsidRDefault="006A45D9">
      <w:pPr>
        <w:spacing w:line="276" w:lineRule="auto"/>
        <w:ind w:firstLine="709"/>
        <w:jc w:val="both"/>
        <w:rPr>
          <w:rFonts w:ascii="Times New Roman" w:hAnsi="Times New Roman"/>
          <w:sz w:val="28"/>
          <w:szCs w:val="28"/>
        </w:rPr>
      </w:pPr>
      <w:r>
        <w:rPr>
          <w:rFonts w:ascii="Times New Roman" w:hAnsi="Times New Roman"/>
          <w:sz w:val="28"/>
          <w:szCs w:val="28"/>
        </w:rPr>
        <w:t>В рамках мероприятия в целях сокращения гибели северных оленей в Камчатском крае отстрелено 29 голов волков. Охотникам предоставлены выплаты по 30 тыс. рублей за 1 голову добытого во</w:t>
      </w:r>
      <w:r>
        <w:rPr>
          <w:rFonts w:ascii="Times New Roman" w:hAnsi="Times New Roman"/>
          <w:sz w:val="28"/>
          <w:szCs w:val="28"/>
        </w:rPr>
        <w:t>лка.</w:t>
      </w:r>
    </w:p>
    <w:p w:rsidR="00583DA6" w:rsidRDefault="006A45D9">
      <w:pPr>
        <w:spacing w:line="276" w:lineRule="auto"/>
        <w:ind w:firstLine="709"/>
        <w:jc w:val="both"/>
        <w:rPr>
          <w:rFonts w:ascii="Times New Roman" w:hAnsi="Times New Roman"/>
          <w:sz w:val="28"/>
          <w:szCs w:val="28"/>
        </w:rPr>
      </w:pPr>
      <w:r>
        <w:rPr>
          <w:rFonts w:ascii="Times New Roman" w:hAnsi="Times New Roman"/>
          <w:sz w:val="28"/>
          <w:szCs w:val="28"/>
        </w:rPr>
        <w:t>По состоянию на 31.12.2022 численность поголовья северных оленей в СХО Камчатского края составила 43,991 тыс. голов, что ниже уровня прошлого года на 3,05 %. Уменьшение численности оленей обусловлено увеличением доли непроизводительных отходов (травеж</w:t>
      </w:r>
      <w:r>
        <w:rPr>
          <w:rFonts w:ascii="Times New Roman" w:hAnsi="Times New Roman"/>
          <w:sz w:val="28"/>
          <w:szCs w:val="28"/>
        </w:rPr>
        <w:t>, падеж, потери) в 3 организациях.</w:t>
      </w:r>
    </w:p>
    <w:p w:rsidR="00583DA6" w:rsidRDefault="006A45D9">
      <w:pPr>
        <w:spacing w:line="276" w:lineRule="auto"/>
        <w:ind w:firstLine="709"/>
        <w:jc w:val="both"/>
        <w:rPr>
          <w:rFonts w:ascii="Times New Roman" w:hAnsi="Times New Roman"/>
          <w:sz w:val="28"/>
          <w:szCs w:val="28"/>
        </w:rPr>
      </w:pPr>
      <w:r>
        <w:rPr>
          <w:rFonts w:ascii="Times New Roman" w:hAnsi="Times New Roman"/>
          <w:sz w:val="28"/>
          <w:szCs w:val="28"/>
        </w:rPr>
        <w:t>Реализация мероприятий государственной программы, а также инвестиционных проектов позволили увеличить к 2022 году долю самообеспеченности региона, предварительные данные приведены на рисунке 4.</w:t>
      </w:r>
    </w:p>
    <w:p w:rsidR="00583DA6" w:rsidRDefault="006A45D9">
      <w:pPr>
        <w:spacing w:line="276" w:lineRule="auto"/>
        <w:jc w:val="both"/>
        <w:rPr>
          <w:rFonts w:ascii="Times New Roman" w:hAnsi="Times New Roman"/>
          <w:sz w:val="28"/>
          <w:szCs w:val="28"/>
        </w:rPr>
      </w:pPr>
      <w:r>
        <w:rPr>
          <w:noProof/>
          <w:lang w:eastAsia="ru-RU"/>
        </w:rPr>
        <w:drawing>
          <wp:inline distT="0" distB="0" distL="0" distR="0">
            <wp:extent cx="6089015" cy="4017645"/>
            <wp:effectExtent l="0" t="0" r="0" b="0"/>
            <wp:docPr id="4" name="Объект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83DA6" w:rsidRDefault="006A45D9">
      <w:pPr>
        <w:spacing w:line="276" w:lineRule="auto"/>
        <w:ind w:firstLine="709"/>
        <w:jc w:val="center"/>
        <w:rPr>
          <w:rFonts w:ascii="Times New Roman" w:hAnsi="Times New Roman"/>
          <w:sz w:val="28"/>
          <w:szCs w:val="28"/>
        </w:rPr>
      </w:pPr>
      <w:r>
        <w:rPr>
          <w:rFonts w:ascii="Times New Roman" w:hAnsi="Times New Roman"/>
          <w:sz w:val="28"/>
          <w:szCs w:val="28"/>
        </w:rPr>
        <w:t>Рисунок 4. Доля самообесп</w:t>
      </w:r>
      <w:r>
        <w:rPr>
          <w:rFonts w:ascii="Times New Roman" w:hAnsi="Times New Roman"/>
          <w:sz w:val="28"/>
          <w:szCs w:val="28"/>
        </w:rPr>
        <w:t>еченности населения Камчатского края продуктами собственного производства в 2014 и 2022 гг., %.</w:t>
      </w:r>
    </w:p>
    <w:p w:rsidR="00583DA6" w:rsidRDefault="00583DA6">
      <w:pPr>
        <w:spacing w:line="276" w:lineRule="auto"/>
        <w:ind w:firstLine="709"/>
        <w:jc w:val="center"/>
        <w:rPr>
          <w:rFonts w:ascii="Times New Roman" w:hAnsi="Times New Roman"/>
          <w:sz w:val="28"/>
          <w:szCs w:val="28"/>
        </w:rPr>
      </w:pPr>
    </w:p>
    <w:p w:rsidR="00583DA6" w:rsidRDefault="006A45D9">
      <w:pPr>
        <w:spacing w:line="276" w:lineRule="auto"/>
        <w:ind w:firstLine="709"/>
        <w:jc w:val="both"/>
        <w:rPr>
          <w:rFonts w:ascii="Times New Roman" w:hAnsi="Times New Roman"/>
          <w:sz w:val="28"/>
          <w:szCs w:val="28"/>
          <w:lang w:eastAsia="ru-RU"/>
        </w:rPr>
      </w:pPr>
      <w:r>
        <w:rPr>
          <w:rFonts w:ascii="Times New Roman" w:hAnsi="Times New Roman"/>
          <w:sz w:val="28"/>
          <w:szCs w:val="28"/>
        </w:rPr>
        <w:t>В 2022 году была завершена реализация государственной поддержки, направленной на возмещение предприятиям, осуществляющим торговую деятельность продукцией камча</w:t>
      </w:r>
      <w:r>
        <w:rPr>
          <w:rFonts w:ascii="Times New Roman" w:hAnsi="Times New Roman"/>
          <w:sz w:val="28"/>
          <w:szCs w:val="28"/>
        </w:rPr>
        <w:t>тских товаропроизводителей, части затрат по аренде (субаренде) торговых площадей на постоянно действующих ярмарках камчатских товаропроизводителей, оказываемой в целях продвижения продукции собственного производства на потребительский рынок Камчатского кра</w:t>
      </w:r>
      <w:r>
        <w:rPr>
          <w:rFonts w:ascii="Times New Roman" w:hAnsi="Times New Roman"/>
          <w:sz w:val="28"/>
          <w:szCs w:val="28"/>
        </w:rPr>
        <w:t>я. Участникам ярмарок возмещается 50 % затрат на уплату арендных платежей, что позволяет предлагать населению края продукцию местных товаропроизводителей по более доступным ценам. По данному направлению 5</w:t>
      </w:r>
      <w:r>
        <w:rPr>
          <w:rFonts w:ascii="Times New Roman" w:hAnsi="Times New Roman"/>
          <w:sz w:val="28"/>
          <w:szCs w:val="28"/>
        </w:rPr>
        <w:noBreakHyphen/>
        <w:t xml:space="preserve">ти предприятиям края предоставлена государственная </w:t>
      </w:r>
      <w:r>
        <w:rPr>
          <w:rFonts w:ascii="Times New Roman" w:hAnsi="Times New Roman"/>
          <w:sz w:val="28"/>
          <w:szCs w:val="28"/>
        </w:rPr>
        <w:t>поддержка за 4 квартал 2021 года в размере 1 402,276 тыс. рублей. На сегодняшний день поддержка не действует.</w:t>
      </w:r>
    </w:p>
    <w:p w:rsidR="00583DA6" w:rsidRDefault="00583DA6">
      <w:pPr>
        <w:ind w:firstLine="709"/>
        <w:contextualSpacing/>
        <w:jc w:val="both"/>
        <w:rPr>
          <w:rFonts w:ascii="Times New Roman" w:eastAsia="Times New Roman" w:hAnsi="Times New Roman"/>
          <w:sz w:val="28"/>
          <w:szCs w:val="28"/>
          <w:lang w:eastAsia="ru-RU"/>
        </w:rPr>
      </w:pPr>
    </w:p>
    <w:p w:rsidR="00583DA6" w:rsidRDefault="006A45D9">
      <w:pPr>
        <w:pBdr>
          <w:top w:val="single" w:sz="18" w:space="1" w:color="000000"/>
        </w:pBdr>
        <w:ind w:firstLine="709"/>
        <w:jc w:val="both"/>
        <w:outlineLvl w:val="2"/>
        <w:rPr>
          <w:rFonts w:ascii="Times New Roman" w:eastAsia="Times New Roman" w:hAnsi="Times New Roman"/>
          <w:b/>
          <w:sz w:val="28"/>
          <w:szCs w:val="28"/>
          <w:lang w:eastAsia="ru-RU"/>
        </w:rPr>
      </w:pPr>
      <w:bookmarkStart w:id="11" w:name="_Toc132664201"/>
      <w:r>
        <w:rPr>
          <w:rFonts w:ascii="Times New Roman" w:eastAsia="Times New Roman" w:hAnsi="Times New Roman"/>
          <w:b/>
          <w:sz w:val="28"/>
          <w:szCs w:val="28"/>
          <w:lang w:eastAsia="ru-RU"/>
        </w:rPr>
        <w:t>Социальные услуги</w:t>
      </w:r>
      <w:bookmarkEnd w:id="11"/>
    </w:p>
    <w:p w:rsidR="00583DA6" w:rsidRDefault="00583DA6">
      <w:pPr>
        <w:ind w:firstLine="709"/>
        <w:contextualSpacing/>
        <w:jc w:val="both"/>
        <w:rPr>
          <w:rFonts w:ascii="Times New Roman" w:eastAsia="Times New Roman" w:hAnsi="Times New Roman"/>
          <w:sz w:val="28"/>
          <w:szCs w:val="28"/>
          <w:lang w:eastAsia="ru-RU"/>
        </w:rPr>
      </w:pPr>
    </w:p>
    <w:p w:rsidR="00583DA6" w:rsidRDefault="006A45D9">
      <w:pPr>
        <w:ind w:firstLine="709"/>
        <w:jc w:val="both"/>
        <w:rPr>
          <w:rFonts w:ascii="Times New Roman" w:hAnsi="Times New Roman"/>
          <w:sz w:val="28"/>
          <w:szCs w:val="28"/>
        </w:rPr>
      </w:pPr>
      <w:r>
        <w:rPr>
          <w:rFonts w:ascii="Times New Roman" w:eastAsia="Times New Roman" w:hAnsi="Times New Roman"/>
          <w:sz w:val="28"/>
          <w:szCs w:val="28"/>
          <w:lang w:eastAsia="ru-RU"/>
        </w:rPr>
        <w:t xml:space="preserve">Реализация </w:t>
      </w:r>
      <w:r>
        <w:rPr>
          <w:rFonts w:ascii="Times New Roman" w:hAnsi="Times New Roman"/>
          <w:sz w:val="28"/>
          <w:szCs w:val="28"/>
        </w:rPr>
        <w:t>государственной программы Камчатского края</w:t>
      </w:r>
      <w:r>
        <w:rPr>
          <w:rFonts w:ascii="Times New Roman" w:eastAsia="Times New Roman" w:hAnsi="Times New Roman"/>
          <w:sz w:val="28"/>
          <w:szCs w:val="28"/>
          <w:lang w:eastAsia="ru-RU"/>
        </w:rPr>
        <w:t xml:space="preserve"> «Социальная поддержка граждан в Камчатском крае» позволила осуществить</w:t>
      </w:r>
      <w:r>
        <w:rPr>
          <w:rFonts w:ascii="Times New Roman" w:hAnsi="Times New Roman"/>
          <w:sz w:val="28"/>
          <w:szCs w:val="28"/>
        </w:rPr>
        <w:t xml:space="preserve"> реализацию губернаторского проекта «Город для жизни». Граждане пенсионного возраста имели возможность бесплатно посетить Паратунские горячие источники. В 2022 году в проекте приняло участие 3964 человек, из них 1527 жителей г. Петропавловска-Камчатского, </w:t>
      </w:r>
      <w:r>
        <w:rPr>
          <w:rFonts w:ascii="Times New Roman" w:hAnsi="Times New Roman"/>
          <w:sz w:val="28"/>
          <w:szCs w:val="28"/>
        </w:rPr>
        <w:t>Елизовский район – 1277 человек, г. Вилючинск – 1160 человек.</w:t>
      </w:r>
    </w:p>
    <w:p w:rsidR="00583DA6" w:rsidRDefault="006A45D9">
      <w:pPr>
        <w:ind w:firstLine="709"/>
        <w:jc w:val="both"/>
        <w:rPr>
          <w:rFonts w:ascii="Times New Roman" w:hAnsi="Times New Roman"/>
          <w:sz w:val="28"/>
          <w:szCs w:val="28"/>
        </w:rPr>
      </w:pPr>
      <w:r>
        <w:rPr>
          <w:rFonts w:ascii="Times New Roman" w:hAnsi="Times New Roman"/>
          <w:sz w:val="28"/>
          <w:szCs w:val="28"/>
        </w:rPr>
        <w:t>В 2022 году расширился список баз отдыха, принявших участие в проекте: Вилла-Позитив, Островок, Лотос, Тепло Земли. Продолжилось сотрудничество и с базами отдыха Зеленовские озерки, Начики, Малк</w:t>
      </w:r>
      <w:r>
        <w:rPr>
          <w:rFonts w:ascii="Times New Roman" w:hAnsi="Times New Roman"/>
          <w:sz w:val="28"/>
          <w:szCs w:val="28"/>
        </w:rPr>
        <w:t>и.</w:t>
      </w:r>
    </w:p>
    <w:p w:rsidR="00583DA6" w:rsidRDefault="006A45D9">
      <w:pPr>
        <w:ind w:firstLine="709"/>
        <w:jc w:val="both"/>
        <w:rPr>
          <w:rFonts w:ascii="Times New Roman" w:hAnsi="Times New Roman"/>
          <w:sz w:val="28"/>
          <w:szCs w:val="28"/>
        </w:rPr>
      </w:pPr>
      <w:r>
        <w:rPr>
          <w:rFonts w:ascii="Times New Roman" w:hAnsi="Times New Roman"/>
          <w:sz w:val="28"/>
          <w:szCs w:val="28"/>
        </w:rPr>
        <w:t xml:space="preserve">В туры к горячим источникам пенсионеры отправлялись на комфортабельных автобусах в сопровождении волонтеров, где для них были организованы оздоровительные процедуры и горячий чай, горячее питание. </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Так же оздоровление получили 662 человека, из которых:</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450 человек получили оздоровление по бесплатным путевкам (в санатории «Жемчужина Камчатки» 435 человек, в пансионате «Светлячок» 15 человек);</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212 человек получили компенсацию стоимости самостоятельно приобретенных путевок (в санатории «Жемчужина Камчатки» </w:t>
      </w:r>
      <w:r>
        <w:rPr>
          <w:rFonts w:ascii="Times New Roman" w:eastAsia="Times New Roman" w:hAnsi="Times New Roman"/>
          <w:sz w:val="28"/>
          <w:szCs w:val="28"/>
          <w:lang w:eastAsia="ru-RU"/>
        </w:rPr>
        <w:t>4 человека, в пансионате «Светлячок» 50 человек, в санаториях за пределами Камчатского края 158 человек).</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 состоянию на 01.01.2022 очередь на предоставление бесплатных путевок составляла 1 963 человека. В течение 2022 года очередь на предоставление беспл</w:t>
      </w:r>
      <w:r>
        <w:rPr>
          <w:rFonts w:ascii="Times New Roman" w:eastAsia="Times New Roman" w:hAnsi="Times New Roman"/>
          <w:sz w:val="28"/>
          <w:szCs w:val="28"/>
          <w:lang w:eastAsia="ru-RU"/>
        </w:rPr>
        <w:t>атных путевок уменьшилась на 264 человека (13,4%) и по состоянию на 01.01.2023 составила 1 699 человек.</w:t>
      </w:r>
    </w:p>
    <w:p w:rsidR="00583DA6" w:rsidRDefault="006A45D9">
      <w:pPr>
        <w:ind w:firstLine="709"/>
        <w:contextualSpacing/>
        <w:jc w:val="both"/>
        <w:rPr>
          <w:rFonts w:ascii="Times New Roman" w:eastAsia="Times New Roman" w:hAnsi="Times New Roman"/>
          <w:sz w:val="28"/>
          <w:szCs w:val="28"/>
        </w:rPr>
      </w:pPr>
      <w:r>
        <w:rPr>
          <w:rFonts w:ascii="Times New Roman" w:eastAsia="Times New Roman" w:hAnsi="Times New Roman"/>
          <w:sz w:val="28"/>
          <w:szCs w:val="28"/>
        </w:rPr>
        <w:t>Также важным мероприятием в рамках национального проекта «Демография» регионального проекта «Старшее поколение» является создание системы долговременног</w:t>
      </w:r>
      <w:r>
        <w:rPr>
          <w:rFonts w:ascii="Times New Roman" w:eastAsia="Times New Roman" w:hAnsi="Times New Roman"/>
          <w:sz w:val="28"/>
          <w:szCs w:val="28"/>
        </w:rPr>
        <w:t>о ухода за гражданами пожилого возраста и инвалидами, требующей изменений подходов к организации социального обслуживания и медицинской помощи.</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Долговременным уходом в 2022 году было охвачено 106 пожилых граждан и инвалидов, из них:</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57 человек получали усл</w:t>
      </w:r>
      <w:r>
        <w:rPr>
          <w:rFonts w:ascii="Times New Roman" w:eastAsia="Times New Roman" w:hAnsi="Times New Roman"/>
          <w:sz w:val="28"/>
          <w:szCs w:val="28"/>
          <w:lang w:eastAsia="ru-RU"/>
        </w:rPr>
        <w:t>уги по уходу в объеме до 28 часов в неделю;</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45 человек получали услуги по уходу в объеме до 21 часа в неделю;</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 человека получали услуги по уходу в объеме до 14 часов в неделю.</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Услугами пунктов проката технических средств реабилитации в 2022 году воспользо</w:t>
      </w:r>
      <w:r>
        <w:rPr>
          <w:rFonts w:ascii="Times New Roman" w:eastAsia="Times New Roman" w:hAnsi="Times New Roman"/>
          <w:sz w:val="28"/>
          <w:szCs w:val="28"/>
          <w:lang w:eastAsia="ru-RU"/>
        </w:rPr>
        <w:t>вались более 500 человек, которые смогли получить во временное пользование как простейшие технические средства в виде ходунков и тростей, так и более сложное оборудование, вплоть до функциональных кроватей с электрическим приводом. Предоставляемые в пункта</w:t>
      </w:r>
      <w:r>
        <w:rPr>
          <w:rFonts w:ascii="Times New Roman" w:eastAsia="Times New Roman" w:hAnsi="Times New Roman"/>
          <w:sz w:val="28"/>
          <w:szCs w:val="28"/>
          <w:lang w:eastAsia="ru-RU"/>
        </w:rPr>
        <w:t>х проката технические средства реабилитации позволяют как повысить собственную мобильность пожилых граждан и инвалидов в пределах жилого помещения и на улице, так и упрощают уход родственникам за лежачим или маломобильным членом семьи.</w:t>
      </w:r>
    </w:p>
    <w:p w:rsidR="00583DA6" w:rsidRDefault="006A45D9">
      <w:pPr>
        <w:ind w:firstLine="709"/>
        <w:jc w:val="both"/>
        <w:rPr>
          <w:rFonts w:ascii="Times New Roman" w:hAnsi="Times New Roman"/>
          <w:sz w:val="28"/>
          <w:szCs w:val="28"/>
        </w:rPr>
      </w:pPr>
      <w:r>
        <w:rPr>
          <w:rFonts w:ascii="Times New Roman" w:eastAsia="Times New Roman" w:hAnsi="Times New Roman"/>
          <w:sz w:val="28"/>
          <w:szCs w:val="28"/>
          <w:lang w:eastAsia="ru-RU"/>
        </w:rPr>
        <w:t>Центры дневного преб</w:t>
      </w:r>
      <w:r>
        <w:rPr>
          <w:rFonts w:ascii="Times New Roman" w:eastAsia="Times New Roman" w:hAnsi="Times New Roman"/>
          <w:sz w:val="28"/>
          <w:szCs w:val="28"/>
          <w:lang w:eastAsia="ru-RU"/>
        </w:rPr>
        <w:t>ывания в 2022 году посетило более 300 пожилых граждан и инвалидов, в том числе с ментальными нарушениями. В г. Петропавловске-Камчатском, г. Елизово, г. Вилючинске и с. Эссо пожилые граждане и инвалиды доставлялись в центры дневного пребывания на специализ</w:t>
      </w:r>
      <w:r>
        <w:rPr>
          <w:rFonts w:ascii="Times New Roman" w:eastAsia="Times New Roman" w:hAnsi="Times New Roman"/>
          <w:sz w:val="28"/>
          <w:szCs w:val="28"/>
          <w:lang w:eastAsia="ru-RU"/>
        </w:rPr>
        <w:t>ированных автотранспортных средствах, приобретенных в рамках проекта именно на эти цели, оборудованных подъемниками для инвалидов-колясочников.</w:t>
      </w:r>
      <w:r>
        <w:rPr>
          <w:rFonts w:ascii="Times New Roman" w:hAnsi="Times New Roman"/>
          <w:sz w:val="28"/>
          <w:szCs w:val="28"/>
        </w:rPr>
        <w:t xml:space="preserve"> </w:t>
      </w:r>
    </w:p>
    <w:p w:rsidR="00583DA6" w:rsidRDefault="006A45D9">
      <w:pPr>
        <w:shd w:val="clear" w:color="auto" w:fill="FFFFFF"/>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 20.04.2022 в Камчатском крае организована выдача «Карты жителя Камчатки», интегрированной с региональной цифр</w:t>
      </w:r>
      <w:r>
        <w:rPr>
          <w:rFonts w:ascii="Times New Roman" w:eastAsia="Times New Roman" w:hAnsi="Times New Roman"/>
          <w:sz w:val="28"/>
          <w:szCs w:val="28"/>
          <w:lang w:eastAsia="ru-RU"/>
        </w:rPr>
        <w:t>овой платформой сервисов «Социальные баллы» и предоставляющей неработающим пенсионерам, достигшим возраста 60 лет и получающим региональную доплату к пенсии, возможность приобретения продуктовых товаров местных производителей в одной из торговых сетей – «Ш</w:t>
      </w:r>
      <w:r>
        <w:rPr>
          <w:rFonts w:ascii="Times New Roman" w:eastAsia="Times New Roman" w:hAnsi="Times New Roman"/>
          <w:sz w:val="28"/>
          <w:szCs w:val="28"/>
          <w:lang w:eastAsia="ru-RU"/>
        </w:rPr>
        <w:t>амса», «Агротек», «Юкидим» и «Семейная корзинка» на сумму до 3 000 рублей в месяц.</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hAnsi="Times New Roman"/>
          <w:sz w:val="28"/>
          <w:szCs w:val="28"/>
        </w:rPr>
        <w:t xml:space="preserve">Снижение </w:t>
      </w:r>
      <w:r>
        <w:rPr>
          <w:rFonts w:ascii="Times New Roman" w:eastAsia="Times New Roman" w:hAnsi="Times New Roman"/>
          <w:sz w:val="28"/>
          <w:szCs w:val="28"/>
          <w:lang w:eastAsia="ru-RU"/>
        </w:rPr>
        <w:t>Суммарного коэффициента рождаемости (число детей на одну женщину) в Камчатском крае обусловлено</w:t>
      </w:r>
      <w:r>
        <w:rPr>
          <w:rFonts w:ascii="Times New Roman" w:hAnsi="Times New Roman"/>
          <w:sz w:val="28"/>
          <w:szCs w:val="28"/>
        </w:rPr>
        <w:t xml:space="preserve"> с</w:t>
      </w:r>
      <w:r>
        <w:rPr>
          <w:rFonts w:ascii="Times New Roman" w:eastAsia="Times New Roman" w:hAnsi="Times New Roman"/>
          <w:sz w:val="28"/>
          <w:szCs w:val="28"/>
          <w:lang w:eastAsia="ru-RU"/>
        </w:rPr>
        <w:t>нижением числа женщин фертильного возраста в общей численности насе</w:t>
      </w:r>
      <w:r>
        <w:rPr>
          <w:rFonts w:ascii="Times New Roman" w:eastAsia="Times New Roman" w:hAnsi="Times New Roman"/>
          <w:sz w:val="28"/>
          <w:szCs w:val="28"/>
          <w:lang w:eastAsia="ru-RU"/>
        </w:rPr>
        <w:t>ления.</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 xml:space="preserve"> </w:t>
      </w:r>
      <w:r>
        <w:rPr>
          <w:rFonts w:ascii="Times New Roman" w:eastAsia="Times New Roman" w:hAnsi="Times New Roman"/>
          <w:sz w:val="28"/>
          <w:szCs w:val="28"/>
          <w:lang w:eastAsia="ru-RU"/>
        </w:rPr>
        <w:t>Степень реализации контрольных событий – 75% (12 запланировано, 9 исполнено в полном объеме, 3 исполнено частично)</w:t>
      </w:r>
      <w:r>
        <w:rPr>
          <w:rFonts w:ascii="Times New Roman" w:hAnsi="Times New Roman"/>
          <w:sz w:val="28"/>
          <w:szCs w:val="28"/>
        </w:rPr>
        <w:t>.</w:t>
      </w:r>
    </w:p>
    <w:p w:rsidR="00583DA6" w:rsidRDefault="00583DA6">
      <w:pPr>
        <w:ind w:firstLine="709"/>
        <w:contextualSpacing/>
        <w:jc w:val="both"/>
        <w:rPr>
          <w:rFonts w:ascii="Times New Roman" w:hAnsi="Times New Roman"/>
          <w:sz w:val="28"/>
          <w:szCs w:val="28"/>
        </w:rPr>
      </w:pPr>
    </w:p>
    <w:p w:rsidR="00583DA6" w:rsidRDefault="006A45D9">
      <w:pPr>
        <w:pBdr>
          <w:top w:val="single" w:sz="18" w:space="1" w:color="000000"/>
        </w:pBdr>
        <w:ind w:firstLine="709"/>
        <w:jc w:val="both"/>
        <w:outlineLvl w:val="2"/>
        <w:rPr>
          <w:rFonts w:ascii="Times New Roman" w:eastAsia="Times New Roman" w:hAnsi="Times New Roman"/>
          <w:b/>
          <w:sz w:val="28"/>
          <w:szCs w:val="28"/>
          <w:lang w:eastAsia="ru-RU"/>
        </w:rPr>
      </w:pPr>
      <w:bookmarkStart w:id="12" w:name="_Toc100682901"/>
      <w:bookmarkStart w:id="13" w:name="_Toc132664202"/>
      <w:r>
        <w:rPr>
          <w:rFonts w:ascii="Times New Roman" w:eastAsia="Times New Roman" w:hAnsi="Times New Roman"/>
          <w:b/>
          <w:sz w:val="28"/>
          <w:szCs w:val="28"/>
          <w:lang w:eastAsia="ru-RU"/>
        </w:rPr>
        <w:t xml:space="preserve">Жильё, </w:t>
      </w:r>
      <w:bookmarkEnd w:id="12"/>
      <w:r>
        <w:rPr>
          <w:rFonts w:ascii="Times New Roman" w:eastAsia="Times New Roman" w:hAnsi="Times New Roman"/>
          <w:b/>
          <w:sz w:val="28"/>
          <w:szCs w:val="28"/>
          <w:lang w:eastAsia="ru-RU"/>
        </w:rPr>
        <w:t>коммунальное хозяйство, благоустройство</w:t>
      </w:r>
      <w:bookmarkEnd w:id="13"/>
    </w:p>
    <w:p w:rsidR="00583DA6" w:rsidRDefault="00583DA6">
      <w:pPr>
        <w:ind w:firstLine="709"/>
        <w:jc w:val="both"/>
        <w:rPr>
          <w:rFonts w:ascii="Times New Roman" w:eastAsia="Times New Roman" w:hAnsi="Times New Roman"/>
          <w:sz w:val="28"/>
          <w:szCs w:val="28"/>
          <w:lang w:eastAsia="ru-RU"/>
        </w:rPr>
      </w:pP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По данным Министерства строительства и жилищной политики Камчатского края в рамках реализации государственной программы Камчатского края «Обеспечение доступным и комфортным жильем жителей Камчатского края» в отчетном году на территории Камчатского края вве</w:t>
      </w:r>
      <w:r>
        <w:rPr>
          <w:rFonts w:ascii="Times New Roman" w:hAnsi="Times New Roman"/>
          <w:sz w:val="28"/>
          <w:szCs w:val="28"/>
        </w:rPr>
        <w:t xml:space="preserve">дено 67,372 тыс. кв. м жилья, годовой объем ввода жилья стандартного класса составил 12,422 тыс. кв. м.  </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 xml:space="preserve">Переселены из аварийного жилищного фонда 718 граждан, в том числе в рамках регионального проекта «Обеспечение устойчивого сокращения непригодного для </w:t>
      </w:r>
      <w:r>
        <w:rPr>
          <w:rFonts w:ascii="Times New Roman" w:hAnsi="Times New Roman"/>
          <w:sz w:val="28"/>
          <w:szCs w:val="28"/>
        </w:rPr>
        <w:t>проживания жилищного фонда» введены в эксплуатацию 12</w:t>
      </w:r>
      <w:r>
        <w:rPr>
          <w:rFonts w:ascii="Times New Roman" w:hAnsi="Times New Roman"/>
          <w:sz w:val="28"/>
          <w:szCs w:val="28"/>
        </w:rPr>
        <w:noBreakHyphen/>
        <w:t>ти квартирный дом в Алеутском муниципальном округе, 21 квартирный жилой дом в Мильковском сельском поселении, 6-ти квартирный дом в Эссовском сельском поселении и 57 квартирный жилой дом в Петропавловск</w:t>
      </w:r>
      <w:r>
        <w:rPr>
          <w:rFonts w:ascii="Times New Roman" w:hAnsi="Times New Roman"/>
          <w:sz w:val="28"/>
          <w:szCs w:val="28"/>
        </w:rPr>
        <w:t>-Камчатском городском округе. В данных домах приобретены жилые помещения для переселения граждан из аварийного жилищного фонда.</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Выдано и реализовано 79 свидетельств о предоставлении молодым семьям социальных выплат на приобретение жилого помещения или стро</w:t>
      </w:r>
      <w:r>
        <w:rPr>
          <w:rFonts w:ascii="Times New Roman" w:hAnsi="Times New Roman"/>
          <w:sz w:val="28"/>
          <w:szCs w:val="28"/>
        </w:rPr>
        <w:t>ительство индивидуального жилищного строительства.</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 xml:space="preserve">В рамках ипотечного жилищного кредитования предоставлена социальная выплата отдельным категориям граждан, проживающим в Камчатском крае, на уплату первоначального взноса по ипотечному жилищному кредиту на </w:t>
      </w:r>
      <w:r>
        <w:rPr>
          <w:rFonts w:ascii="Times New Roman" w:hAnsi="Times New Roman"/>
          <w:sz w:val="28"/>
          <w:szCs w:val="28"/>
        </w:rPr>
        <w:t>приобретение жилого помещения. 34 семей получили социальную выплату и приобрели 1 713,55 кв. м. жилья, из них 1 многодетная семья улучшила свои жилищные условия, кроме того приобрели жилье 6 учителей в возрасте до 35 лет.</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 xml:space="preserve">В целях реализации мероприятий по </w:t>
      </w:r>
      <w:r>
        <w:rPr>
          <w:rFonts w:ascii="Times New Roman" w:hAnsi="Times New Roman"/>
          <w:sz w:val="28"/>
          <w:szCs w:val="28"/>
        </w:rPr>
        <w:t xml:space="preserve">обеспечению детей-сирот и детей, оставшихся без попечения родителей, жилыми помещениями средства 2022 года израсходованы на приобретение 82 квартир, ремонт 17 квартир, а также выплату администрацией Елизовского муниципального района аванса по контракту на </w:t>
      </w:r>
      <w:r>
        <w:rPr>
          <w:rFonts w:ascii="Times New Roman" w:hAnsi="Times New Roman"/>
          <w:sz w:val="28"/>
          <w:szCs w:val="28"/>
        </w:rPr>
        <w:t>приобретение у застройщика 16 квартир в строящемся жилом доме, ввод которого запланирован на июль 2023 года. Обеспечение детей-сирот осуществлялось как за счет квартир, включенных в состав специализированного жилищного фонда для детей-сирот за счет средств</w:t>
      </w:r>
      <w:r>
        <w:rPr>
          <w:rFonts w:ascii="Times New Roman" w:hAnsi="Times New Roman"/>
          <w:sz w:val="28"/>
          <w:szCs w:val="28"/>
        </w:rPr>
        <w:t xml:space="preserve"> 2022 года, так и за счет квартир, приобретенных в предыдущие годы. Обеспечено 20 человек, подлежащих обеспечению жильем в 2022 году, а также осуществлялась ликвидация задолженности по обеспечению детей-сирот из списков предыдущих лет. </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В рамках Региональн</w:t>
      </w:r>
      <w:r>
        <w:rPr>
          <w:rFonts w:ascii="Times New Roman" w:hAnsi="Times New Roman"/>
          <w:sz w:val="28"/>
          <w:szCs w:val="28"/>
        </w:rPr>
        <w:t>ой адресной программы по переселению граждан из аварийного жилищного фонда, реализуемой в рамках регионального проекта «Обеспечение устойчивого сокращения непригодного для проживания жилищного фонда», реализовывалось мероприятие по переселению граждан из а</w:t>
      </w:r>
      <w:r>
        <w:rPr>
          <w:rFonts w:ascii="Times New Roman" w:hAnsi="Times New Roman"/>
          <w:sz w:val="28"/>
          <w:szCs w:val="28"/>
        </w:rPr>
        <w:t>варийного жилищного фонда в соответствии с жилищным законодательством.</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С целью переселения граждан в рамках региональной адресной программы</w:t>
      </w:r>
      <w:r>
        <w:t xml:space="preserve"> </w:t>
      </w:r>
      <w:r>
        <w:rPr>
          <w:rFonts w:ascii="Times New Roman" w:hAnsi="Times New Roman"/>
          <w:sz w:val="28"/>
          <w:szCs w:val="28"/>
        </w:rPr>
        <w:t>по переселению граждан из аварийного жилищного фонда в 2022 году введены в эксплуатацию 12-ти квартирный дом в Алеут</w:t>
      </w:r>
      <w:r>
        <w:rPr>
          <w:rFonts w:ascii="Times New Roman" w:hAnsi="Times New Roman"/>
          <w:sz w:val="28"/>
          <w:szCs w:val="28"/>
        </w:rPr>
        <w:t>ском муниципальном округе, 21 квартирный жилой дом в Мильковском сельском поселении, 6-ти квартирный дом в Эссовском сельском поселении и 57 квартирный жилой дом в Петропавловск-Камчатском городском округе. В данных домах были приобретены жилые помещения д</w:t>
      </w:r>
      <w:r>
        <w:rPr>
          <w:rFonts w:ascii="Times New Roman" w:hAnsi="Times New Roman"/>
          <w:sz w:val="28"/>
          <w:szCs w:val="28"/>
        </w:rPr>
        <w:t>ля переселения граждан из аварийного жилищного фонда.</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141 жилое помещение общей площадью 5 001,43 кв. метров расселено посредством выплаты собственникам выкупной стоимости за изымаемое жилое помещение, 17 жилых помещений общей площадью 722,67 кв. метров бы</w:t>
      </w:r>
      <w:r>
        <w:rPr>
          <w:rFonts w:ascii="Times New Roman" w:hAnsi="Times New Roman"/>
          <w:sz w:val="28"/>
          <w:szCs w:val="28"/>
        </w:rPr>
        <w:t>ло приобретено на вторичном рынке и 94 жилых помещения общей площадью 4 166,50 кв. метров приобретены в строящихся и построенных домах у застройщиков.</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По данным Министерства жилищно-коммунального хозяйства и энергетики Камчатского края</w:t>
      </w:r>
      <w:r>
        <w:t xml:space="preserve"> </w:t>
      </w:r>
      <w:r>
        <w:rPr>
          <w:rFonts w:ascii="Times New Roman" w:hAnsi="Times New Roman"/>
          <w:sz w:val="28"/>
          <w:szCs w:val="28"/>
        </w:rPr>
        <w:t xml:space="preserve">в рамках реализации </w:t>
      </w:r>
      <w:r>
        <w:rPr>
          <w:rFonts w:ascii="Times New Roman" w:hAnsi="Times New Roman"/>
          <w:sz w:val="28"/>
          <w:szCs w:val="28"/>
        </w:rPr>
        <w:t xml:space="preserve">государственной программы Камчатского края «Энергоэффективность, развитие энергетики и коммунального хозяйства, обеспечение жителей населенных пунктов Камчатского края коммунальными услугами» в отчетном году 33,6 </w:t>
      </w:r>
      <w:r>
        <w:rPr>
          <w:rFonts w:ascii="Times New Roman" w:eastAsia="Times New Roman" w:hAnsi="Times New Roman"/>
          <w:sz w:val="28"/>
          <w:szCs w:val="28"/>
          <w:lang w:eastAsia="ru-RU"/>
        </w:rPr>
        <w:t>тыс.</w:t>
      </w:r>
      <w:r>
        <w:rPr>
          <w:rFonts w:ascii="Times New Roman" w:hAnsi="Times New Roman"/>
          <w:sz w:val="28"/>
          <w:szCs w:val="28"/>
        </w:rPr>
        <w:t xml:space="preserve"> человек улучшили жилищные условия в ре</w:t>
      </w:r>
      <w:r>
        <w:rPr>
          <w:rFonts w:ascii="Times New Roman" w:hAnsi="Times New Roman"/>
          <w:sz w:val="28"/>
          <w:szCs w:val="28"/>
        </w:rPr>
        <w:t xml:space="preserve">зультате капитального ремонта многоквартирных домов (в 2021 году – 64 </w:t>
      </w:r>
      <w:r>
        <w:rPr>
          <w:rFonts w:ascii="Times New Roman" w:eastAsia="Times New Roman" w:hAnsi="Times New Roman"/>
          <w:sz w:val="28"/>
          <w:szCs w:val="28"/>
          <w:lang w:eastAsia="ru-RU"/>
        </w:rPr>
        <w:t>тыс.</w:t>
      </w:r>
      <w:r>
        <w:rPr>
          <w:rFonts w:ascii="Times New Roman" w:hAnsi="Times New Roman"/>
          <w:sz w:val="28"/>
          <w:szCs w:val="28"/>
        </w:rPr>
        <w:t xml:space="preserve"> человек); доля общей площади многоквартирных домов, в которых проведен капитальный ремонт общего имущества, от общей площади многоквартирных домов, требующих капитального ремонта со</w:t>
      </w:r>
      <w:r>
        <w:rPr>
          <w:rFonts w:ascii="Times New Roman" w:hAnsi="Times New Roman"/>
          <w:sz w:val="28"/>
          <w:szCs w:val="28"/>
        </w:rPr>
        <w:t>ставила 12,43% (в 2021 году – 19%).</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Выполнен капитальный ремонт в 272 многоквартирных домах общей площадью 755,30 тыс. кв. м.</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В целях реализации мероприятий, направленных на реконструкцию и строительство систем водоснабжения и водоотведения выполнен очеред</w:t>
      </w:r>
      <w:r>
        <w:rPr>
          <w:rFonts w:ascii="Times New Roman" w:hAnsi="Times New Roman"/>
          <w:sz w:val="28"/>
          <w:szCs w:val="28"/>
        </w:rPr>
        <w:t>ной этап реализации мероприятия «Подключение (присоединение) к сетям инженерно-технического обеспечения. Реконструкция сетей централизованного теплоснабжения и холодного водоснабжения улиц Березовая, Зеленая, Южная, Кедровая, пер. Медвежий угол, ул. им. Де</w:t>
      </w:r>
      <w:r>
        <w:rPr>
          <w:rFonts w:ascii="Times New Roman" w:hAnsi="Times New Roman"/>
          <w:sz w:val="28"/>
          <w:szCs w:val="28"/>
        </w:rPr>
        <w:t>вяткина, ул. Линейная с. Эссо Быстринского района Камчатского края (в том числе проектные работы)», получено положительное заключение государственной экспертизы «Обустройство водозаборных сооружений с бурением дополнительной скважины и строительством центр</w:t>
      </w:r>
      <w:r>
        <w:rPr>
          <w:rFonts w:ascii="Times New Roman" w:hAnsi="Times New Roman"/>
          <w:sz w:val="28"/>
          <w:szCs w:val="28"/>
        </w:rPr>
        <w:t>ализованной системы водоснабжения в с. Апука Олюторского района (в том числе проектные работы)», в рамках плана социального развития центров экономического роста Камчатского края начата реализация мероприятия «Реконструкция системы водоотведения Елизовског</w:t>
      </w:r>
      <w:r>
        <w:rPr>
          <w:rFonts w:ascii="Times New Roman" w:hAnsi="Times New Roman"/>
          <w:sz w:val="28"/>
          <w:szCs w:val="28"/>
        </w:rPr>
        <w:t>о городского поселения. 1 этап. Реконструкция КОС-29, строительство сливной станции». По состоянию на 31 декабря 2022 года закуплена и доставлена до строительной площадки строительства большая часть оборудования. Начата реализация инфраструктурного проекта</w:t>
      </w:r>
      <w:r>
        <w:rPr>
          <w:rFonts w:ascii="Times New Roman" w:hAnsi="Times New Roman"/>
          <w:sz w:val="28"/>
          <w:szCs w:val="28"/>
        </w:rPr>
        <w:t xml:space="preserve"> за счет средств инфраструктурных бюджетных кредитов «Реконструкция системы водоотведения центральной части г. Петропавловска-Камчатского. Канализационная насосная станция КНС «Мехзавод», предоставлены субсидии КГУП «Камчатский водоканал» на финансовое обе</w:t>
      </w:r>
      <w:r>
        <w:rPr>
          <w:rFonts w:ascii="Times New Roman" w:hAnsi="Times New Roman"/>
          <w:sz w:val="28"/>
          <w:szCs w:val="28"/>
        </w:rPr>
        <w:t>спечение затрат в связи с выполнением работ и (или) оказанием услуг по проведению ремонта инженерных сетей, объектов систем питьевого водоснабжения и систем водоотведения, зданий и сооружений административно-хозяйственного и вспомогательного производства и</w:t>
      </w:r>
      <w:r>
        <w:rPr>
          <w:rFonts w:ascii="Times New Roman" w:hAnsi="Times New Roman"/>
          <w:sz w:val="28"/>
          <w:szCs w:val="28"/>
        </w:rPr>
        <w:t xml:space="preserve"> на приобретение техники, оборудования и программного обеспечения (включая затраты на его внедрение и модификацию), необходимых для выполнения работ и (или) оказания услуг по водоснабжению и водоотведению.</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В целях энергосбережения и повышения энергетическо</w:t>
      </w:r>
      <w:r>
        <w:rPr>
          <w:rFonts w:ascii="Times New Roman" w:hAnsi="Times New Roman"/>
          <w:sz w:val="28"/>
          <w:szCs w:val="28"/>
        </w:rPr>
        <w:t>й эффективности в Камчатском крае в 2022 году проведены мероприятия, направленные на ремонт ветхих и аварийных сетей, модернизацию систем энерго-, теплоснабжения и объектов коммунально-бытового назначения в целях разработки проектной документации по объект</w:t>
      </w:r>
      <w:r>
        <w:rPr>
          <w:rFonts w:ascii="Times New Roman" w:hAnsi="Times New Roman"/>
          <w:sz w:val="28"/>
          <w:szCs w:val="28"/>
        </w:rPr>
        <w:t xml:space="preserve">у «Строительство котельной на газовом топливе (резервное дизельное топливо) для теплоснабжения микрорайона «Северный», а также жилого комплекса по ул. Тушканова Петропавловск-Камчатского городского округа». Предоставлены дотации муниципальным образованиям </w:t>
      </w:r>
      <w:r>
        <w:rPr>
          <w:rFonts w:ascii="Times New Roman" w:hAnsi="Times New Roman"/>
          <w:sz w:val="28"/>
          <w:szCs w:val="28"/>
        </w:rPr>
        <w:t>Камчатского края за счет средств краевого бюджета в целях выполнения работ по капитальному ремонту аварийных участков сетей тепло-водоснабжения</w:t>
      </w:r>
      <w:r>
        <w:t xml:space="preserve"> </w:t>
      </w:r>
      <w:r>
        <w:rPr>
          <w:rFonts w:ascii="Times New Roman" w:hAnsi="Times New Roman"/>
          <w:sz w:val="28"/>
          <w:szCs w:val="28"/>
        </w:rPr>
        <w:t>в селе Тигиль, восстановления дорожного покрытия в месте проведения капитального ремонта теплотрассы</w:t>
      </w:r>
      <w:r>
        <w:t xml:space="preserve"> </w:t>
      </w:r>
      <w:r>
        <w:rPr>
          <w:rFonts w:ascii="Times New Roman" w:hAnsi="Times New Roman"/>
          <w:sz w:val="28"/>
          <w:szCs w:val="28"/>
        </w:rPr>
        <w:t>в п. Палана</w:t>
      </w:r>
      <w:r>
        <w:rPr>
          <w:rFonts w:ascii="Times New Roman" w:hAnsi="Times New Roman"/>
          <w:sz w:val="28"/>
          <w:szCs w:val="28"/>
        </w:rPr>
        <w:t>.</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В целях проведения мероприятий в рамках заключенных концессионных соглашений начата реализация инфраструктурного проекта за счет средств инфраструктурных бюджетных кредитов «Реконструкция котельной № 20 (ул. Деркачева) с передачей нагрузок котельной № 10</w:t>
      </w:r>
      <w:r>
        <w:rPr>
          <w:rFonts w:ascii="Times New Roman" w:hAnsi="Times New Roman"/>
          <w:sz w:val="28"/>
          <w:szCs w:val="28"/>
        </w:rPr>
        <w:t>». Запланированное финансирование на 2022 год осуществлено в полном объеме (федеральный бюджет – 252 091,14 тыс. рублей). Кроме того, в рамках концессионного соглашения, заключенного между Раздольненским сельским поселением и ПАО «Камчатскэнерго», профинан</w:t>
      </w:r>
      <w:r>
        <w:rPr>
          <w:rFonts w:ascii="Times New Roman" w:hAnsi="Times New Roman"/>
          <w:sz w:val="28"/>
          <w:szCs w:val="28"/>
        </w:rPr>
        <w:t>сирована реализация мероприятия «Строительство модульной автоматической котельной № 1 на газовом топливе (резервное дизельное) в п. Раздольный для перевода нагрузки потребителей с существующих котельных № 1 и № 2 (проектные работы по актуализации проектной</w:t>
      </w:r>
      <w:r>
        <w:rPr>
          <w:rFonts w:ascii="Times New Roman" w:hAnsi="Times New Roman"/>
          <w:sz w:val="28"/>
          <w:szCs w:val="28"/>
        </w:rPr>
        <w:t xml:space="preserve"> документации «Модульная автоматическая котельная № 1 на газовом топливе (резервное уголь) с учетом нагрузки котельной № 2 Раздольненского СП» в объеме 15 367,08 тыс. рублей.</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По данным Министерства строительства и жилищной политики Камчатского края в отчет</w:t>
      </w:r>
      <w:r>
        <w:rPr>
          <w:rFonts w:ascii="Times New Roman" w:hAnsi="Times New Roman"/>
          <w:sz w:val="28"/>
          <w:szCs w:val="28"/>
        </w:rPr>
        <w:t>ном году доля благоустроенных дворовых территорий от общего количества дворовых территорий муниципальных образований в Камчатском крае составила 17%, доля благоустроенных общественных территорий от общего количества общественных территорий муниципальных об</w:t>
      </w:r>
      <w:r>
        <w:rPr>
          <w:rFonts w:ascii="Times New Roman" w:hAnsi="Times New Roman"/>
          <w:sz w:val="28"/>
          <w:szCs w:val="28"/>
        </w:rPr>
        <w:t>разований в Камчатском крае составила 30%.</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В рамках реализации регионального проекта «Формирование комфортной городской среды» в 2022 году планировалось благоустроить 46 территории (10 дворовых территории и 36 общественных пространств). Мероприятия по благ</w:t>
      </w:r>
      <w:r>
        <w:rPr>
          <w:rFonts w:ascii="Times New Roman" w:hAnsi="Times New Roman"/>
          <w:sz w:val="28"/>
          <w:szCs w:val="28"/>
        </w:rPr>
        <w:t>оустройству реализовались на территориях 19 муниципальных образований с численностью населения свыше 1000 человек. Завершены работы на 52 территориях (15 дворовых территории и 37 общественных пространств).</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В сельском поселении с. Тиличики дополнительно обу</w:t>
      </w:r>
      <w:r>
        <w:rPr>
          <w:rFonts w:ascii="Times New Roman" w:hAnsi="Times New Roman"/>
          <w:sz w:val="28"/>
          <w:szCs w:val="28"/>
        </w:rPr>
        <w:t>строили 1 общественную территорию и дополнительно проведены работы по благоустройству 5 дворовых территорий в п. Тиличики, Тилильском муниципальном районе и в Петропавловск-Камчатском городском округе.</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В 2021 году Елизовское городское поселение стало побед</w:t>
      </w:r>
      <w:r>
        <w:rPr>
          <w:rFonts w:ascii="Times New Roman" w:hAnsi="Times New Roman"/>
          <w:sz w:val="28"/>
          <w:szCs w:val="28"/>
        </w:rPr>
        <w:t>ителем Всероссийского конкурса с проектом «Благоустройство набережной р. Половинка». По итогам 2022 года завершены работы по первому этапу проекта «Благоустройство набережной р. Половинка» с использованием федеральных средств в полном объеме. Техническая г</w:t>
      </w:r>
      <w:r>
        <w:rPr>
          <w:rFonts w:ascii="Times New Roman" w:hAnsi="Times New Roman"/>
          <w:sz w:val="28"/>
          <w:szCs w:val="28"/>
        </w:rPr>
        <w:t>отовность объекта на отчетную дату составила 100%.</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В рамках мероприятий по предоставлению межбюджетных трансфертов местным бюджетам на решение вопросов местного значения в сфере благоустройства территорий предоставлены дотации Вилючинскому городскому округ</w:t>
      </w:r>
      <w:r>
        <w:rPr>
          <w:rFonts w:ascii="Times New Roman" w:hAnsi="Times New Roman"/>
          <w:sz w:val="28"/>
          <w:szCs w:val="28"/>
        </w:rPr>
        <w:t>у на завершение работ первого этапа, начатого в 2021 году – проект «Благоустройство Вилючинского проспекта», Мильковскому сельскому поселению по устройству освещения; средства единой субсидии, предоставляемой Минвостокразвития России, направлены на реализа</w:t>
      </w:r>
      <w:r>
        <w:rPr>
          <w:rFonts w:ascii="Times New Roman" w:hAnsi="Times New Roman"/>
          <w:sz w:val="28"/>
          <w:szCs w:val="28"/>
        </w:rPr>
        <w:t>цию мероприятий планов социального развития центров экономического роста Камчатского края (проект «1000 дворов» (благоустройство не менее 38 дворовых территорий) Петропавловск-Камчатскому городскому округу, г. Елизово и г. Вилючинск. В результате реализаци</w:t>
      </w:r>
      <w:r>
        <w:rPr>
          <w:rFonts w:ascii="Times New Roman" w:hAnsi="Times New Roman"/>
          <w:sz w:val="28"/>
          <w:szCs w:val="28"/>
        </w:rPr>
        <w:t>и проекта «1000 дворов» благоустроено 44 дворовые территории;</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В 2022 году реализовано мероприятие «Благоустройство центральной части города Петропавловска-Камчатского. По итогам года выполнены работы по устройству экологической тропы от кафе - бара «Камбал</w:t>
      </w:r>
      <w:r>
        <w:rPr>
          <w:rFonts w:ascii="Times New Roman" w:hAnsi="Times New Roman"/>
          <w:sz w:val="28"/>
          <w:szCs w:val="28"/>
        </w:rPr>
        <w:t>а» до Центра ГИМС МЧС России по Камчатскому краю, устройству экологической тропы в районе озера «Култучное», устройству зоны отдыха возле скейт парка по ул. Озерновская коса.</w:t>
      </w:r>
    </w:p>
    <w:p w:rsidR="00583DA6" w:rsidRDefault="00583DA6">
      <w:pPr>
        <w:ind w:firstLine="709"/>
        <w:contextualSpacing/>
        <w:jc w:val="both"/>
        <w:rPr>
          <w:rFonts w:ascii="Times New Roman" w:hAnsi="Times New Roman"/>
          <w:sz w:val="28"/>
          <w:szCs w:val="28"/>
        </w:rPr>
      </w:pPr>
    </w:p>
    <w:p w:rsidR="00583DA6" w:rsidRDefault="006A45D9">
      <w:pPr>
        <w:pBdr>
          <w:top w:val="single" w:sz="18" w:space="1" w:color="000000"/>
        </w:pBdr>
        <w:ind w:firstLine="709"/>
        <w:jc w:val="both"/>
        <w:outlineLvl w:val="2"/>
        <w:rPr>
          <w:rFonts w:ascii="Times New Roman" w:eastAsia="Times New Roman" w:hAnsi="Times New Roman"/>
          <w:b/>
          <w:sz w:val="28"/>
          <w:szCs w:val="28"/>
          <w:lang w:eastAsia="ru-RU"/>
        </w:rPr>
      </w:pPr>
      <w:bookmarkStart w:id="14" w:name="_Toc132664203"/>
      <w:r>
        <w:rPr>
          <w:rFonts w:ascii="Times New Roman" w:eastAsia="Times New Roman" w:hAnsi="Times New Roman"/>
          <w:b/>
          <w:sz w:val="28"/>
          <w:szCs w:val="28"/>
          <w:lang w:eastAsia="ru-RU"/>
        </w:rPr>
        <w:t>Экономика, промышленность, туризм</w:t>
      </w:r>
      <w:bookmarkEnd w:id="14"/>
    </w:p>
    <w:p w:rsidR="00583DA6" w:rsidRDefault="00583DA6">
      <w:pPr>
        <w:ind w:firstLine="709"/>
        <w:contextualSpacing/>
        <w:jc w:val="both"/>
        <w:rPr>
          <w:rFonts w:ascii="Times New Roman" w:eastAsia="Times New Roman" w:hAnsi="Times New Roman"/>
          <w:sz w:val="28"/>
          <w:szCs w:val="28"/>
          <w:lang w:eastAsia="ru-RU"/>
        </w:rPr>
      </w:pP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Одним из важнейших индикаторов, характеризующ</w:t>
      </w:r>
      <w:r>
        <w:rPr>
          <w:rFonts w:ascii="Times New Roman" w:hAnsi="Times New Roman"/>
          <w:sz w:val="28"/>
          <w:szCs w:val="28"/>
        </w:rPr>
        <w:t>их развитие экономики региона, является рост объема инвестиций в основной капитал. По результатам Национального рейтинга состояния инвестиционного климата в субъектах Российской Федерации (далее – Рейтинг) по итогам 2021 года Камчатский край занял 13 место</w:t>
      </w:r>
      <w:r>
        <w:rPr>
          <w:rFonts w:ascii="Times New Roman" w:hAnsi="Times New Roman"/>
          <w:sz w:val="28"/>
          <w:szCs w:val="28"/>
        </w:rPr>
        <w:t>. Приоритетными направлениями повышения позиции Камчатского края в Рейтинге в 2022 году являлись вопросы снижения административной нагрузки, внедрения цифровых решений для бизнеса, а также упрощения регламентных процедур предоставления государственных и ин</w:t>
      </w:r>
      <w:r>
        <w:rPr>
          <w:rFonts w:ascii="Times New Roman" w:hAnsi="Times New Roman"/>
          <w:sz w:val="28"/>
          <w:szCs w:val="28"/>
        </w:rPr>
        <w:t>ых услуг для предпринимателей. Рейтинг субъектов Российской Федерации по итогам 2022 года будет представлен на Петербургском международном экономическом форуме в июне 2023 года.</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Основными факторами, повлиявшими на итоги инвестиционной деятельности в отчетн</w:t>
      </w:r>
      <w:r>
        <w:rPr>
          <w:rFonts w:ascii="Times New Roman" w:hAnsi="Times New Roman"/>
          <w:sz w:val="28"/>
          <w:szCs w:val="28"/>
        </w:rPr>
        <w:t>ом году, стали особенности осуществления предпринимательской деятельности организаций в условиях нарастающего санкционного давления вследствие введения торговых, технологических и финансовых ограничений со стороны ряда государств, а также высокий уровень и</w:t>
      </w:r>
      <w:r>
        <w:rPr>
          <w:rFonts w:ascii="Times New Roman" w:hAnsi="Times New Roman"/>
          <w:sz w:val="28"/>
          <w:szCs w:val="28"/>
        </w:rPr>
        <w:t xml:space="preserve">нфляции. </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Несмотря на достижение значения показателя «Объем инвестиций в основной капитал за счет всех источников финансирования» в абсолютном выражении 90,9 млрд рублей (плановое значение – 54,3 млрд рублей), по итогам 2022 года отмечается снижение инвест</w:t>
      </w:r>
      <w:r>
        <w:rPr>
          <w:rFonts w:ascii="Times New Roman" w:hAnsi="Times New Roman"/>
          <w:sz w:val="28"/>
          <w:szCs w:val="28"/>
        </w:rPr>
        <w:t>иционной активности организаций на 1,5 процентных пункта (индекс физического объема инвестиций в основной капитал в сопоставимых ценах составил 98,5% к уровню 2021 года). Ввиду значительных объемов финансирования капитальных вложений за счет средств федера</w:t>
      </w:r>
      <w:r>
        <w:rPr>
          <w:rFonts w:ascii="Times New Roman" w:hAnsi="Times New Roman"/>
          <w:sz w:val="28"/>
          <w:szCs w:val="28"/>
        </w:rPr>
        <w:t>льного бюджета в рамках инвестиционной программы Камчатского края и Федеральной адресной инвестиционной программы не достигнуто значение показателя «Доля внебюджетных средств в общем объеме инвестиций» –.67,7% при целевом значении индикатора –72,5%.</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В рамк</w:t>
      </w:r>
      <w:r>
        <w:rPr>
          <w:rFonts w:ascii="Times New Roman" w:hAnsi="Times New Roman"/>
          <w:sz w:val="28"/>
          <w:szCs w:val="28"/>
        </w:rPr>
        <w:t xml:space="preserve">ах деятельности по созданию условий для осуществления субъектами малого и среднего предпринимательства (далее – СМСП) и самозанятыми гражданами предпринимательской деятельности в Камчатском крае в отчетном периоде за счет средств краевого бюджета, а также </w:t>
      </w:r>
      <w:r>
        <w:rPr>
          <w:rFonts w:ascii="Times New Roman" w:hAnsi="Times New Roman"/>
          <w:sz w:val="28"/>
          <w:szCs w:val="28"/>
        </w:rPr>
        <w:t>прочих внебюджетных источников оказана поддержка 6 051 СМСП и 1 139 физическим лицам, желающим зарегистрироваться в качестве предпринимателя, 402 гражданам, применяющим специальный налоговый режим «Налог на профессиональный доход».</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 xml:space="preserve">В 2022 году в </w:t>
      </w:r>
      <w:r>
        <w:rPr>
          <w:rFonts w:ascii="Times New Roman" w:hAnsi="Times New Roman"/>
          <w:sz w:val="28"/>
          <w:szCs w:val="28"/>
        </w:rPr>
        <w:t>соответствии с распоряжением Губернатора Камчатского края от 16.03.2022 № 169-Р «Об обеспечении устойчивого развития экономики и социальной стабильности в Камчатском крае» в регионе было организовано предоставление мер антикризисной поддержки в сфере малог</w:t>
      </w:r>
      <w:r>
        <w:rPr>
          <w:rFonts w:ascii="Times New Roman" w:hAnsi="Times New Roman"/>
          <w:sz w:val="28"/>
          <w:szCs w:val="28"/>
        </w:rPr>
        <w:t>о и среднего предпринимательства.</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В рамках национального проекта «Международная кооперация и экспорт» в Камчатском крае реализуется региональный проект «Системные меры развития международной кооперации и экспорта».</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Основным показателем регионального проект</w:t>
      </w:r>
      <w:r>
        <w:rPr>
          <w:rFonts w:ascii="Times New Roman" w:hAnsi="Times New Roman"/>
          <w:sz w:val="28"/>
          <w:szCs w:val="28"/>
        </w:rPr>
        <w:t>а является внедрение Стандарта по обеспечению благоприятных условий для развития экспортной деятельности (Региональный экспортный стандарт 2.0.).</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В отчетном году подготовлен проект Стратегии международной и внешнеэкономической деятельности Камчатского края</w:t>
      </w:r>
      <w:r>
        <w:rPr>
          <w:rFonts w:ascii="Times New Roman" w:hAnsi="Times New Roman"/>
          <w:sz w:val="28"/>
          <w:szCs w:val="28"/>
        </w:rPr>
        <w:t xml:space="preserve"> до 2030 года. Документ рассмотрен на заседаниях Совета по внешнеэкономической деятельности при Губернаторе Камчатского края, доработан с учетом замечаний и предложений общественных объединений, подведомственных учреждений, территориальных управлений федер</w:t>
      </w:r>
      <w:r>
        <w:rPr>
          <w:rFonts w:ascii="Times New Roman" w:hAnsi="Times New Roman"/>
          <w:sz w:val="28"/>
          <w:szCs w:val="28"/>
        </w:rPr>
        <w:t>альных органов власти, создана управленческая команда по вопросам развития экспортной деятельности в Камчатском крае.</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В рамках работы по снижению уровня административного давления на бизнес в 2022 году проведена информационная кампания, направленная на инф</w:t>
      </w:r>
      <w:r>
        <w:rPr>
          <w:rFonts w:ascii="Times New Roman" w:hAnsi="Times New Roman"/>
          <w:sz w:val="28"/>
          <w:szCs w:val="28"/>
        </w:rPr>
        <w:t>ормирование бизнес-сообщества по вопросам в сфере контрольной (надзорной) деятельности, проведены очные встречи с бизнесом на площадках общественных организаций с участием контрольных (надзорных) органов и представителей прокуратуры Камчатского края. По ит</w:t>
      </w:r>
      <w:r>
        <w:rPr>
          <w:rFonts w:ascii="Times New Roman" w:hAnsi="Times New Roman"/>
          <w:sz w:val="28"/>
          <w:szCs w:val="28"/>
        </w:rPr>
        <w:t>огам 2022 года количество проверок бизнеса снизилось по сравнению с показателем 2019 более чем в 4,5 раза (на 79% меньше показателя 2019 года).</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Прирост производительности труда в базовых несырьевых отраслях экономики Камчатского края с 2021 года обеспечива</w:t>
      </w:r>
      <w:r>
        <w:rPr>
          <w:rFonts w:ascii="Times New Roman" w:hAnsi="Times New Roman"/>
          <w:sz w:val="28"/>
          <w:szCs w:val="28"/>
        </w:rPr>
        <w:t>ется путем вовлечения предприятий Камчатского края в реализацию национального проекта «Производительность труда» через получение адресной поддержки. В 2022 году к реализации проектов по повышению производительности труда «Бережливое производство» приступил</w:t>
      </w:r>
      <w:r>
        <w:rPr>
          <w:rFonts w:ascii="Times New Roman" w:hAnsi="Times New Roman"/>
          <w:sz w:val="28"/>
          <w:szCs w:val="28"/>
        </w:rPr>
        <w:t>и 4 предприятия под руководством экспертов Федерального центра компетенций в сфере производительности труда и 6 предприятий под руководством регионального центра компетенций АНО «РЦК».</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 xml:space="preserve">Рыбная отрасль традиционно является доминирующей в хозяйственной жизни Камчатского края, она определяет направления и динамику развития многих других секторов экономики региона. </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Камчатский край продолжает лидировать по объемам добычи. Первое место в струк</w:t>
      </w:r>
      <w:r>
        <w:rPr>
          <w:rFonts w:ascii="Times New Roman" w:hAnsi="Times New Roman"/>
          <w:sz w:val="28"/>
          <w:szCs w:val="28"/>
        </w:rPr>
        <w:t>туре вылова занимает минтай, на втором месте – тихоокеанские лососи. За 2022 год объем добычи водных биологических ресурсов составил 1405,1 тыс. тонн, из них вылов тихоокеанских лососей – 134,5 тыс. тонн.</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Доля рыбоперерабатывающего комплекса Камчатского кр</w:t>
      </w:r>
      <w:r>
        <w:rPr>
          <w:rFonts w:ascii="Times New Roman" w:hAnsi="Times New Roman"/>
          <w:sz w:val="28"/>
          <w:szCs w:val="28"/>
        </w:rPr>
        <w:t xml:space="preserve">ая в общем объеме промышленного производства региона традиционно очень велика и составляет более 60 %. Объем отгруженных товаров, работ, услуг организациями по виду деятельности «переработка и консервирование рыбы, ракообразных и моллюсков» по фактическим </w:t>
      </w:r>
      <w:r>
        <w:rPr>
          <w:rFonts w:ascii="Times New Roman" w:hAnsi="Times New Roman"/>
          <w:sz w:val="28"/>
          <w:szCs w:val="28"/>
        </w:rPr>
        <w:t>видам деятельности в 2022 году составил 113,1 млрд руб. или 97,6 % к уровню 2021 года.</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В 2022 году объем производства рыбы, переработанной и консервированной в регионе, составил 997,2 тыс. тонн (значение показателя в 2021 году – 1152 тыс. тонн). В структур</w:t>
      </w:r>
      <w:r>
        <w:rPr>
          <w:rFonts w:ascii="Times New Roman" w:hAnsi="Times New Roman"/>
          <w:sz w:val="28"/>
          <w:szCs w:val="28"/>
        </w:rPr>
        <w:t xml:space="preserve">е рыбопродукции самую высокую позицию занимает рыба мороженая: объем ее производства составил 776,3 тыс. тонн. При этом зафиксирован рост производства продукции глубокой степени переработки: объем производства филе рыбного мороженого составил 76 тыс. тонн </w:t>
      </w:r>
      <w:r>
        <w:rPr>
          <w:rFonts w:ascii="Times New Roman" w:hAnsi="Times New Roman"/>
          <w:sz w:val="28"/>
          <w:szCs w:val="28"/>
        </w:rPr>
        <w:t>(101 % к 2021 году), мяса рыбы (включая фарш) мороженого – 13 тыс. тонн (200 % соответственно).</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В настоящее время в Камчатском крае зарегистрировано более 700 организаций, ведущих рыбохозяйственную деятельность с круглогодичным либо сезонным производственн</w:t>
      </w:r>
      <w:r>
        <w:rPr>
          <w:rFonts w:ascii="Times New Roman" w:hAnsi="Times New Roman"/>
          <w:sz w:val="28"/>
          <w:szCs w:val="28"/>
        </w:rPr>
        <w:t>ым циклом, более 200 из которых осуществляют вылов водных биологических ресурсов.</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Неотъемлемой частью рыбохозяйственного комплекса Камчатского края являются береговые перерабатывающие предприятия. В крае построено и действует более 190 рыбоперерабатывающих</w:t>
      </w:r>
      <w:r>
        <w:rPr>
          <w:rFonts w:ascii="Times New Roman" w:hAnsi="Times New Roman"/>
          <w:sz w:val="28"/>
          <w:szCs w:val="28"/>
        </w:rPr>
        <w:t xml:space="preserve"> заводов, 14 осуществляют выпуск рыбных консервов. Суммарная суточная мощность заводов составляет более 16 тыс. тонн мороженой продукции, 1,4 млн условных банок консервов, емкости для хранения мороженой продукции составляют более 200 тыс. тонн. Перерабатыв</w:t>
      </w:r>
      <w:r>
        <w:rPr>
          <w:rFonts w:ascii="Times New Roman" w:hAnsi="Times New Roman"/>
          <w:sz w:val="28"/>
          <w:szCs w:val="28"/>
        </w:rPr>
        <w:t>ающие мощности в основном сконцентрированы в г. Петропавловске-Камчатском, Усть-Большерецком, Соболевском и Карагинском районах края.</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Камчатский край занимает первое место в Дальневосточном федеральном округе по численности работающих в рыбохозяйственном к</w:t>
      </w:r>
      <w:r>
        <w:rPr>
          <w:rFonts w:ascii="Times New Roman" w:hAnsi="Times New Roman"/>
          <w:sz w:val="28"/>
          <w:szCs w:val="28"/>
        </w:rPr>
        <w:t>омплексе, более 15,5 тысяч человек составила среднегодовая численность работников рыбохозяйственных организаций в 2022 году (99,5% к 2021 году).</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Среднемесячная заработная плата работников, занятых в организациях, основным видом деятельности которых являетс</w:t>
      </w:r>
      <w:r>
        <w:rPr>
          <w:rFonts w:ascii="Times New Roman" w:hAnsi="Times New Roman"/>
          <w:sz w:val="28"/>
          <w:szCs w:val="28"/>
        </w:rPr>
        <w:t>я «рыболовство и рыбоводство», ежегодно растет. За январь-ноябрь 2022 года она составила 159,7 тыс. руб. (102,5 % к уровню аналогичного периода 2021 года). Заработная плата по виду деятельности «переработка и консервирование рыбы, ракообразных и моллюсков»</w:t>
      </w:r>
      <w:r>
        <w:rPr>
          <w:rFonts w:ascii="Times New Roman" w:hAnsi="Times New Roman"/>
          <w:sz w:val="28"/>
          <w:szCs w:val="28"/>
        </w:rPr>
        <w:t xml:space="preserve"> за январь-ноябрь 2022 года составила 156,0 тыс. руб. (92,9 % к уровню аналогичного периода 2021 года).</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В сложившихся в 2022 году непростых условиях развития международных отношений России рыбохозяйственные организации Камчатского края не только не сократи</w:t>
      </w:r>
      <w:r>
        <w:rPr>
          <w:rFonts w:ascii="Times New Roman" w:hAnsi="Times New Roman"/>
          <w:sz w:val="28"/>
          <w:szCs w:val="28"/>
        </w:rPr>
        <w:t>ли объем экспорта гидробионтов, но и увеличили его. По данным Федеральной таможенной статистики по состоянию на 31.12.2022 объем экспорта водных биологических ресурсов в текущих ценах составил 1 041,3 млн долл. США, превысив показатель аналогичного периода</w:t>
      </w:r>
      <w:r>
        <w:rPr>
          <w:rFonts w:ascii="Times New Roman" w:hAnsi="Times New Roman"/>
          <w:sz w:val="28"/>
          <w:szCs w:val="28"/>
        </w:rPr>
        <w:t xml:space="preserve"> прошлого года в 1,1 раза. В натуральном выражении экспортировано 347,0 тыс. тонн продукции (увеличение в 1,4 раза).</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Снижение отдельных экономических показателей в 2022 году обусловлено, прежде всего, сокращением объема добычи водных биологических ресурсов</w:t>
      </w:r>
      <w:r>
        <w:rPr>
          <w:rFonts w:ascii="Times New Roman" w:hAnsi="Times New Roman"/>
          <w:sz w:val="28"/>
          <w:szCs w:val="28"/>
        </w:rPr>
        <w:t>. При этом ежегодный объем добычи водных биологических ресурсов ограничен ресурсной базой и складывается из разрешенных рыбохозяйственной наукой к вылову величин общего допустимого улова и кратно различающихся по годам подходов анадромных видов рыб. В связ</w:t>
      </w:r>
      <w:r>
        <w:rPr>
          <w:rFonts w:ascii="Times New Roman" w:hAnsi="Times New Roman"/>
          <w:sz w:val="28"/>
          <w:szCs w:val="28"/>
        </w:rPr>
        <w:t xml:space="preserve">и с низким уровнем подходов в 2022 году зафиксирован наименьший вылов тихоокеанских лососей в Камчатском крае за последние несколько лет в размере 134,5 тыс. тонн. Данный результат в разы меньше лососевых уловов 2018, 2019 и 2021 годов, обеспечивших вклад </w:t>
      </w:r>
      <w:r>
        <w:rPr>
          <w:rFonts w:ascii="Times New Roman" w:hAnsi="Times New Roman"/>
          <w:sz w:val="28"/>
          <w:szCs w:val="28"/>
        </w:rPr>
        <w:t>в общий вылов региона в размере от 377,7 до 497,6 тыс. тонн.</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В целях пресечения транспортировки браконьерской лососевой икры в промышленных масштабах с территории Камчатского края с 1 ноября 2022 года стартовал эксперимент по ограничению перевозки икры воз</w:t>
      </w:r>
      <w:r>
        <w:rPr>
          <w:rFonts w:ascii="Times New Roman" w:hAnsi="Times New Roman"/>
          <w:sz w:val="28"/>
          <w:szCs w:val="28"/>
        </w:rPr>
        <w:t>душным транспортом. Эксперимент проводится в рамках Федерального закона от 14.07.2022 № 254-ФЗ «О проведении на территории Камчатского края эксперимента по внедрению дополнительных механизмов регулирования внутренних воздушных перевозок икры лососевых видо</w:t>
      </w:r>
      <w:r>
        <w:rPr>
          <w:rFonts w:ascii="Times New Roman" w:hAnsi="Times New Roman"/>
          <w:sz w:val="28"/>
          <w:szCs w:val="28"/>
        </w:rPr>
        <w:t>в рыб (красной икры) непромышленного изготовления» и продлится до 1 августа 2025 года.</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Законом установлен запрет на авиаперевозку в багаже или ручной клади лососевой икры непромышленного изготовления свыше 10 килограммов на одного человека за один рейс. Пр</w:t>
      </w:r>
      <w:r>
        <w:rPr>
          <w:rFonts w:ascii="Times New Roman" w:hAnsi="Times New Roman"/>
          <w:sz w:val="28"/>
          <w:szCs w:val="28"/>
        </w:rPr>
        <w:t xml:space="preserve">и этом вывозить лососевую икру в объеме свыше 10 килограммов гражданам разрешается при наличии документов, подтверждающих законность её происхождения. </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В целях обеспечения доступа граждан Камчатского края к водным биоресурсам и развития туризма в 2022 году</w:t>
      </w:r>
      <w:r>
        <w:rPr>
          <w:rFonts w:ascii="Times New Roman" w:hAnsi="Times New Roman"/>
          <w:sz w:val="28"/>
          <w:szCs w:val="28"/>
        </w:rPr>
        <w:t xml:space="preserve"> образовано 30 дополнительных рыболовных участков, предназначенных для организации любительского рыболовства, 22 из которых находятся в Корякском округе.</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Важными направлениями развития экономики Камчатского края являются создание высокоэффективного и конку</w:t>
      </w:r>
      <w:r>
        <w:rPr>
          <w:rFonts w:ascii="Times New Roman" w:hAnsi="Times New Roman"/>
          <w:sz w:val="28"/>
          <w:szCs w:val="28"/>
        </w:rPr>
        <w:t>рентоспособного туристского комплекса, развитие современной туристской инфраструктуры. Приоритеты государственной политики в сфере туризма сформулированы в государственной программе Камчатского края «Развитие внутреннего и въездного туризма в Камчатском кр</w:t>
      </w:r>
      <w:r>
        <w:rPr>
          <w:rFonts w:ascii="Times New Roman" w:hAnsi="Times New Roman"/>
          <w:sz w:val="28"/>
          <w:szCs w:val="28"/>
        </w:rPr>
        <w:t>ае».</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В 2022 году частными инвесторами создано 8 объектов размещения туристов. Среди них: хостел «Евражки», туристская база «Тимоновский приют», отель «SOPKA», отель «ПИК 3456», база отдыха «Раздолье Камчатки», ООО «БАЗА ДОМ ЛОСОСЯ» – рыболовная База «Амчиг</w:t>
      </w:r>
      <w:r>
        <w:rPr>
          <w:rFonts w:ascii="Times New Roman" w:hAnsi="Times New Roman"/>
          <w:sz w:val="28"/>
          <w:szCs w:val="28"/>
        </w:rPr>
        <w:t>ача», ООО «ЭКО ТРЭВЭЛ» – «База по приему юных туристов», ООО «КАМВИЗИТТУР» – хостел «KamchaHome». Открыто 6 пунктов общественного питания.</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В 2022 году прошли классификацию и включены в Федеральный единый перечень классифицированных гостиниц, горнолыжных тр</w:t>
      </w:r>
      <w:r>
        <w:rPr>
          <w:rFonts w:ascii="Times New Roman" w:hAnsi="Times New Roman"/>
          <w:sz w:val="28"/>
          <w:szCs w:val="28"/>
        </w:rPr>
        <w:t>асс, пляжей 32 объекта Камчатского края.</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АНО «КВТЦ» совместно с Министерством туризма Камчатского края сформированы первые экскурсионные программы по новому туристическому направлению «Промышленный туризм». В партнёрах проекта на сегодняшний день насчитыва</w:t>
      </w:r>
      <w:r>
        <w:rPr>
          <w:rFonts w:ascii="Times New Roman" w:hAnsi="Times New Roman"/>
          <w:sz w:val="28"/>
          <w:szCs w:val="28"/>
        </w:rPr>
        <w:t>ется несколько крупных предприятий края, в числе которых первый интерактивный музей истории АО «Океанрыбфлот», ООО «Мильковский районный комбинат пищевых продуктов «ЮНЕТ», ЗАО «Малкинское» и мастерская «Огненное чудо», их список предполагается расширять.</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П</w:t>
      </w:r>
      <w:r>
        <w:rPr>
          <w:rFonts w:ascii="Times New Roman" w:hAnsi="Times New Roman"/>
          <w:sz w:val="28"/>
          <w:szCs w:val="28"/>
        </w:rPr>
        <w:t>роведена работа по разработке и внедрению механизма предоставления сертификатов для полета выпускников средних общеобразовательных школ в Долину гейзеров. В 2022 году сформирован 1101 сертификат на экскурсию по маршруту «Долина гейзеров – Узон – Налычево»,</w:t>
      </w:r>
      <w:r>
        <w:rPr>
          <w:rFonts w:ascii="Times New Roman" w:hAnsi="Times New Roman"/>
          <w:sz w:val="28"/>
          <w:szCs w:val="28"/>
        </w:rPr>
        <w:t xml:space="preserve"> 605 из которых реализованы.</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 xml:space="preserve">В отчетном году в результате введенных из-за коронавируса ограничений и проведения военной спецоперации на Украине значительно сократилось количество иностранных туристов. Тройку лидеров по турпотоку в Камчатский край образуют </w:t>
      </w:r>
      <w:r>
        <w:rPr>
          <w:rFonts w:ascii="Times New Roman" w:hAnsi="Times New Roman"/>
          <w:sz w:val="28"/>
          <w:szCs w:val="28"/>
        </w:rPr>
        <w:t>туристы из Республики Корея, Китая и Германии. При этом объем внутреннего туристского потока увеличился в 1,4 раза по сравнению с 2021. В 2022 году спрос на внутреннем туристическом рынке стимулировался не только фактором закрытых границ, но и программой к</w:t>
      </w:r>
      <w:r>
        <w:rPr>
          <w:rFonts w:ascii="Times New Roman" w:hAnsi="Times New Roman"/>
          <w:sz w:val="28"/>
          <w:szCs w:val="28"/>
        </w:rPr>
        <w:t>ешбэка.</w:t>
      </w:r>
    </w:p>
    <w:p w:rsidR="00583DA6" w:rsidRDefault="00583DA6">
      <w:pPr>
        <w:ind w:firstLine="709"/>
        <w:contextualSpacing/>
        <w:jc w:val="both"/>
        <w:rPr>
          <w:rFonts w:ascii="Times New Roman" w:eastAsia="Times New Roman" w:hAnsi="Times New Roman"/>
          <w:sz w:val="28"/>
          <w:szCs w:val="28"/>
          <w:lang w:eastAsia="ru-RU"/>
        </w:rPr>
      </w:pPr>
    </w:p>
    <w:p w:rsidR="00583DA6" w:rsidRDefault="006A45D9">
      <w:pPr>
        <w:pBdr>
          <w:top w:val="single" w:sz="18" w:space="1" w:color="000000"/>
        </w:pBdr>
        <w:ind w:firstLine="709"/>
        <w:jc w:val="both"/>
        <w:outlineLvl w:val="2"/>
        <w:rPr>
          <w:rFonts w:ascii="Times New Roman" w:eastAsia="Times New Roman" w:hAnsi="Times New Roman"/>
          <w:b/>
          <w:sz w:val="28"/>
          <w:szCs w:val="28"/>
          <w:lang w:eastAsia="ru-RU"/>
        </w:rPr>
      </w:pPr>
      <w:bookmarkStart w:id="15" w:name="_Toc132664204"/>
      <w:r>
        <w:rPr>
          <w:rFonts w:ascii="Times New Roman" w:eastAsia="Times New Roman" w:hAnsi="Times New Roman"/>
          <w:b/>
          <w:sz w:val="28"/>
          <w:szCs w:val="28"/>
          <w:lang w:eastAsia="ru-RU"/>
        </w:rPr>
        <w:t>Финансы</w:t>
      </w:r>
      <w:bookmarkEnd w:id="15"/>
    </w:p>
    <w:p w:rsidR="00583DA6" w:rsidRDefault="00583DA6">
      <w:pPr>
        <w:ind w:firstLine="709"/>
        <w:contextualSpacing/>
        <w:rPr>
          <w:rFonts w:ascii="Times New Roman" w:eastAsia="Times New Roman" w:hAnsi="Times New Roman"/>
          <w:sz w:val="28"/>
          <w:szCs w:val="28"/>
          <w:lang w:eastAsia="ru-RU"/>
        </w:rPr>
      </w:pPr>
    </w:p>
    <w:p w:rsidR="00583DA6" w:rsidRDefault="006A45D9">
      <w:pPr>
        <w:shd w:val="clear" w:color="auto" w:fill="FFFFFF"/>
        <w:ind w:firstLine="709"/>
        <w:jc w:val="both"/>
        <w:rPr>
          <w:rFonts w:ascii="Times New Roman" w:hAnsi="Times New Roman"/>
          <w:sz w:val="28"/>
          <w:szCs w:val="28"/>
        </w:rPr>
      </w:pPr>
      <w:r>
        <w:rPr>
          <w:rFonts w:ascii="Times New Roman" w:hAnsi="Times New Roman"/>
          <w:sz w:val="28"/>
          <w:szCs w:val="28"/>
        </w:rPr>
        <w:t xml:space="preserve">На постоянной основе в отчетном году проводилась </w:t>
      </w:r>
      <w:r>
        <w:rPr>
          <w:rFonts w:ascii="Times New Roman" w:hAnsi="Times New Roman"/>
          <w:iCs/>
          <w:sz w:val="28"/>
          <w:szCs w:val="28"/>
        </w:rPr>
        <w:t>работа по решению задачи обеспечения открытости и прозрачности управления государственными финансами.</w:t>
      </w:r>
      <w:r>
        <w:rPr>
          <w:rFonts w:ascii="Times New Roman" w:hAnsi="Times New Roman"/>
          <w:sz w:val="28"/>
          <w:szCs w:val="28"/>
        </w:rPr>
        <w:t xml:space="preserve"> В целях повышения прозрачности системы целей и задач Минфина Камчатского края обеспечено принятие, общественное обсуждение и экспертное сопровождение 146 проектов нормативных правовых актов, разработанных Министерством финансов Камчатского края, из них 11</w:t>
      </w:r>
      <w:r>
        <w:rPr>
          <w:rFonts w:ascii="Times New Roman" w:hAnsi="Times New Roman"/>
          <w:sz w:val="28"/>
          <w:szCs w:val="28"/>
        </w:rPr>
        <w:t>8 проектов приказов Министерства финансов Камчатского края и 28 проектов нормативных правовых актов Губернатора и Правительства Камчатского края. По результатам рассмотрения проектов актов коррупциогенных факторов не выявлено.</w:t>
      </w:r>
    </w:p>
    <w:p w:rsidR="00583DA6" w:rsidRDefault="006A45D9">
      <w:pPr>
        <w:ind w:firstLine="709"/>
        <w:jc w:val="both"/>
        <w:rPr>
          <w:rFonts w:ascii="Times New Roman" w:hAnsi="Times New Roman"/>
          <w:sz w:val="28"/>
          <w:szCs w:val="28"/>
        </w:rPr>
      </w:pPr>
      <w:r>
        <w:rPr>
          <w:rFonts w:ascii="Times New Roman" w:hAnsi="Times New Roman"/>
          <w:sz w:val="28"/>
          <w:szCs w:val="28"/>
        </w:rPr>
        <w:t>В 2022 году продолжена</w:t>
      </w:r>
      <w:r>
        <w:rPr>
          <w:rFonts w:ascii="Times New Roman" w:hAnsi="Times New Roman"/>
          <w:iCs/>
          <w:sz w:val="28"/>
          <w:szCs w:val="28"/>
        </w:rPr>
        <w:t xml:space="preserve"> </w:t>
      </w:r>
      <w:r>
        <w:rPr>
          <w:rFonts w:ascii="Times New Roman" w:hAnsi="Times New Roman"/>
          <w:sz w:val="28"/>
          <w:szCs w:val="28"/>
        </w:rPr>
        <w:t>работа</w:t>
      </w:r>
      <w:r>
        <w:rPr>
          <w:rFonts w:ascii="Times New Roman" w:hAnsi="Times New Roman"/>
          <w:sz w:val="28"/>
          <w:szCs w:val="28"/>
        </w:rPr>
        <w:t xml:space="preserve"> по созданию и актуализации нормативной справочной информации, используемой в информационных системах Федерального казначейства в рамках государственной интегрированной информационной системы управления общественными финансами «Электронный бюджет» в части </w:t>
      </w:r>
      <w:r>
        <w:rPr>
          <w:rFonts w:ascii="Times New Roman" w:hAnsi="Times New Roman"/>
          <w:sz w:val="28"/>
          <w:szCs w:val="28"/>
        </w:rPr>
        <w:t>внесения первоначальной информации и изменений в реестр участников бюджетного процесса, а также юридических лиц, не являющихся участниками бюджетного процесса.</w:t>
      </w:r>
    </w:p>
    <w:p w:rsidR="00583DA6" w:rsidRDefault="006A45D9">
      <w:pPr>
        <w:shd w:val="clear" w:color="auto" w:fill="FFFFFF"/>
        <w:ind w:firstLine="709"/>
        <w:jc w:val="both"/>
        <w:rPr>
          <w:rFonts w:ascii="Times New Roman" w:hAnsi="Times New Roman"/>
          <w:kern w:val="2"/>
          <w:sz w:val="28"/>
          <w:szCs w:val="28"/>
          <w:lang w:eastAsia="ru-RU"/>
        </w:rPr>
      </w:pPr>
      <w:r>
        <w:rPr>
          <w:rFonts w:ascii="Times New Roman" w:hAnsi="Times New Roman"/>
          <w:sz w:val="28"/>
          <w:szCs w:val="28"/>
        </w:rPr>
        <w:t>За 2022 год исполнение в рамках государственной программы (освоение средств) составило 6 280 476</w:t>
      </w:r>
      <w:r>
        <w:rPr>
          <w:rFonts w:ascii="Times New Roman" w:hAnsi="Times New Roman"/>
          <w:sz w:val="28"/>
          <w:szCs w:val="28"/>
        </w:rPr>
        <w:t>,8 тыс. рублей или 97,9 % от запланированного объема и обусловлено тем, что в рамках Государственной программы предусмотрено создание резервов ассигнований в целях обеспечения устойчивости исполнения краевого бюджета, которые используются только по мере не</w:t>
      </w:r>
      <w:r>
        <w:rPr>
          <w:rFonts w:ascii="Times New Roman" w:hAnsi="Times New Roman"/>
          <w:sz w:val="28"/>
          <w:szCs w:val="28"/>
        </w:rPr>
        <w:t>обходимости (в случае недопоступления доходов или незапланированного роста расходных обязательств).</w:t>
      </w:r>
    </w:p>
    <w:p w:rsidR="00583DA6" w:rsidRDefault="006A45D9">
      <w:pPr>
        <w:pStyle w:val="aff2"/>
        <w:ind w:left="0" w:firstLine="709"/>
        <w:jc w:val="both"/>
        <w:rPr>
          <w:rFonts w:ascii="Times New Roman" w:hAnsi="Times New Roman"/>
          <w:sz w:val="28"/>
          <w:szCs w:val="28"/>
        </w:rPr>
      </w:pPr>
      <w:r>
        <w:rPr>
          <w:rFonts w:ascii="Times New Roman" w:hAnsi="Times New Roman"/>
          <w:sz w:val="28"/>
          <w:szCs w:val="28"/>
        </w:rPr>
        <w:t>В 2022 году в рамках реализации мероприятия «Бюджет для граждан» была изготовлена в электронном виде и размещена на сайте исполнительных органов государстве</w:t>
      </w:r>
      <w:r>
        <w:rPr>
          <w:rFonts w:ascii="Times New Roman" w:hAnsi="Times New Roman"/>
          <w:sz w:val="28"/>
          <w:szCs w:val="28"/>
        </w:rPr>
        <w:t>нной власти Камчатского края на странице Министерства финансов Камчатского края в подразделе «бюджет для граждан» раздела «Бюджет» брошюра «Открытый бюджет для граждан Камчатского края «О краевом бюджете на 2023 год и на плановый период 2024 и 2025 годов».</w:t>
      </w:r>
    </w:p>
    <w:p w:rsidR="00583DA6" w:rsidRDefault="006A45D9">
      <w:pPr>
        <w:pStyle w:val="aff2"/>
        <w:ind w:left="0" w:firstLine="709"/>
        <w:jc w:val="both"/>
        <w:rPr>
          <w:rFonts w:ascii="Times New Roman" w:hAnsi="Times New Roman"/>
          <w:sz w:val="28"/>
          <w:szCs w:val="28"/>
        </w:rPr>
      </w:pPr>
      <w:r>
        <w:rPr>
          <w:rFonts w:ascii="Times New Roman" w:hAnsi="Times New Roman"/>
          <w:sz w:val="28"/>
          <w:szCs w:val="28"/>
        </w:rPr>
        <w:t>Размещение в открытом доступе информационной брошюры «Бюджет для граждан» позволяет гражданам Камчатского края знакомиться с приоритетами бюджетной политики, параметрами краевого бюджета, планируемыми и достигнутыми результатами использования бюджетных ас</w:t>
      </w:r>
      <w:r>
        <w:rPr>
          <w:rFonts w:ascii="Times New Roman" w:hAnsi="Times New Roman"/>
          <w:sz w:val="28"/>
          <w:szCs w:val="28"/>
        </w:rPr>
        <w:t>сигнований с использованием средств доступной визуализации (диаграммы и инфографики).</w:t>
      </w:r>
    </w:p>
    <w:p w:rsidR="00583DA6" w:rsidRDefault="006A45D9">
      <w:pPr>
        <w:pStyle w:val="aff2"/>
        <w:ind w:left="0" w:firstLine="709"/>
        <w:jc w:val="both"/>
        <w:rPr>
          <w:rFonts w:ascii="Times New Roman" w:hAnsi="Times New Roman"/>
          <w:sz w:val="28"/>
          <w:szCs w:val="28"/>
        </w:rPr>
      </w:pPr>
      <w:r>
        <w:rPr>
          <w:rFonts w:ascii="Times New Roman" w:hAnsi="Times New Roman"/>
          <w:sz w:val="28"/>
          <w:szCs w:val="28"/>
        </w:rPr>
        <w:t xml:space="preserve">Проект также реализован на портале www.openbudget.kamgov.ru, что позволяет отслеживать доходы и расходы краевого бюджета в режиме реального времени. </w:t>
      </w:r>
    </w:p>
    <w:p w:rsidR="00583DA6" w:rsidRDefault="006A45D9">
      <w:pPr>
        <w:shd w:val="clear" w:color="auto" w:fill="FFFFFF"/>
        <w:ind w:firstLine="709"/>
        <w:jc w:val="both"/>
        <w:rPr>
          <w:rFonts w:ascii="Times New Roman" w:hAnsi="Times New Roman"/>
          <w:sz w:val="28"/>
          <w:szCs w:val="28"/>
        </w:rPr>
      </w:pPr>
      <w:r>
        <w:rPr>
          <w:rFonts w:ascii="Times New Roman" w:hAnsi="Times New Roman"/>
          <w:sz w:val="28"/>
          <w:szCs w:val="28"/>
        </w:rPr>
        <w:t>За 2022 год объем го</w:t>
      </w:r>
      <w:r>
        <w:rPr>
          <w:rFonts w:ascii="Times New Roman" w:hAnsi="Times New Roman"/>
          <w:sz w:val="28"/>
          <w:szCs w:val="28"/>
        </w:rPr>
        <w:t>сударственного долга Камчатского края увеличился на 2 732 894,26821 тыс. рублей и по состоянию на 01.01.2023 года составил 9 319 574,13009 тыс. рублей или 30,9 % от поступивших в краевой бюджет налоговых и неналоговых доходов, что находится в пределах огра</w:t>
      </w:r>
      <w:r>
        <w:rPr>
          <w:rFonts w:ascii="Times New Roman" w:hAnsi="Times New Roman"/>
          <w:sz w:val="28"/>
          <w:szCs w:val="28"/>
        </w:rPr>
        <w:t>ничений, установленных статьей 107 Бюджетного кодекса Российской Федерации. Рост государственного долга Камчатского края обусловлен привлечением в 2022 году бюджетных кредитов из федерального бюджета на финансовое обеспечение инфраструктурных проектов в ра</w:t>
      </w:r>
      <w:r>
        <w:rPr>
          <w:rFonts w:ascii="Times New Roman" w:hAnsi="Times New Roman"/>
          <w:sz w:val="28"/>
          <w:szCs w:val="28"/>
        </w:rPr>
        <w:t>змере 726 661,3374 тыс. рублей и кредитов от кредитных организаций в размере 2 170 000,0 тыс. рублей для финансирования дефицита краевого бюджета.</w:t>
      </w:r>
    </w:p>
    <w:p w:rsidR="00583DA6" w:rsidRDefault="006A45D9">
      <w:pPr>
        <w:shd w:val="clear" w:color="auto" w:fill="FFFFFF"/>
        <w:ind w:firstLine="709"/>
        <w:jc w:val="both"/>
        <w:rPr>
          <w:rFonts w:ascii="Times New Roman" w:hAnsi="Times New Roman"/>
          <w:sz w:val="28"/>
          <w:szCs w:val="28"/>
          <w:lang w:eastAsia="ru-RU"/>
        </w:rPr>
      </w:pPr>
      <w:r>
        <w:rPr>
          <w:rFonts w:ascii="Times New Roman" w:hAnsi="Times New Roman"/>
          <w:sz w:val="28"/>
          <w:szCs w:val="28"/>
        </w:rPr>
        <w:t xml:space="preserve">К одному из важных итогов реализации государственной программы </w:t>
      </w:r>
      <w:r>
        <w:rPr>
          <w:rFonts w:ascii="Times New Roman" w:eastAsia="Times New Roman" w:hAnsi="Times New Roman"/>
          <w:sz w:val="28"/>
          <w:szCs w:val="28"/>
          <w:lang w:eastAsia="ru-RU"/>
        </w:rPr>
        <w:t xml:space="preserve">государственной программы Камчатского края «Управление государственными финансами Камчатского края» </w:t>
      </w:r>
      <w:r>
        <w:rPr>
          <w:rFonts w:ascii="Times New Roman" w:hAnsi="Times New Roman"/>
          <w:sz w:val="28"/>
          <w:szCs w:val="28"/>
        </w:rPr>
        <w:t>в 2022 году, обеспечивающим поддержание устойчивости бюджетной системы, что является одной из целей Государственной программы, относится принятие Закона Кам</w:t>
      </w:r>
      <w:r>
        <w:rPr>
          <w:rFonts w:ascii="Times New Roman" w:hAnsi="Times New Roman"/>
          <w:sz w:val="28"/>
          <w:szCs w:val="28"/>
        </w:rPr>
        <w:t>чатского края от 29.11.2022 № 155 «О краевом бюджете на 2023 год и на плановый период 2024 и 2025 годов» и Закона Камчатского края от 21.06.2022 № 109 «Об исполнении краевого бюджета за 2021 год».</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целом, все основные подходы к реализации государственной </w:t>
      </w:r>
      <w:r>
        <w:rPr>
          <w:rFonts w:ascii="Times New Roman" w:eastAsia="Times New Roman" w:hAnsi="Times New Roman"/>
          <w:sz w:val="28"/>
          <w:szCs w:val="28"/>
          <w:lang w:eastAsia="ru-RU"/>
        </w:rPr>
        <w:t>политики в сфере управления государственными финансами Камчатского края, в том числе в сфере межбюджетных отношений, сохранены.</w:t>
      </w:r>
    </w:p>
    <w:p w:rsidR="00583DA6" w:rsidRDefault="00583DA6">
      <w:pPr>
        <w:ind w:firstLine="709"/>
        <w:contextualSpacing/>
        <w:jc w:val="both"/>
        <w:rPr>
          <w:rFonts w:ascii="Times New Roman" w:eastAsia="Times New Roman" w:hAnsi="Times New Roman"/>
          <w:sz w:val="28"/>
          <w:szCs w:val="28"/>
          <w:lang w:eastAsia="ru-RU"/>
        </w:rPr>
      </w:pPr>
    </w:p>
    <w:p w:rsidR="00583DA6" w:rsidRDefault="006A45D9">
      <w:pPr>
        <w:pBdr>
          <w:top w:val="single" w:sz="18" w:space="1" w:color="000000"/>
        </w:pBdr>
        <w:ind w:firstLine="709"/>
        <w:jc w:val="both"/>
        <w:outlineLvl w:val="2"/>
        <w:rPr>
          <w:rFonts w:ascii="Times New Roman" w:eastAsia="Times New Roman" w:hAnsi="Times New Roman"/>
          <w:b/>
          <w:sz w:val="28"/>
          <w:szCs w:val="28"/>
          <w:lang w:eastAsia="ru-RU"/>
        </w:rPr>
      </w:pPr>
      <w:bookmarkStart w:id="16" w:name="_Toc132664205"/>
      <w:r>
        <w:rPr>
          <w:rFonts w:ascii="Times New Roman" w:eastAsia="Times New Roman" w:hAnsi="Times New Roman"/>
          <w:b/>
          <w:sz w:val="28"/>
          <w:szCs w:val="28"/>
          <w:lang w:eastAsia="ru-RU"/>
        </w:rPr>
        <w:t>Природные ресурсы и экология</w:t>
      </w:r>
      <w:bookmarkEnd w:id="16"/>
    </w:p>
    <w:p w:rsidR="00583DA6" w:rsidRDefault="00583DA6">
      <w:pPr>
        <w:ind w:firstLine="709"/>
        <w:contextualSpacing/>
        <w:jc w:val="both"/>
        <w:rPr>
          <w:rFonts w:ascii="Times New Roman" w:eastAsia="Times New Roman" w:hAnsi="Times New Roman"/>
          <w:sz w:val="28"/>
          <w:szCs w:val="28"/>
          <w:lang w:eastAsia="ru-RU"/>
        </w:rPr>
      </w:pP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Обеспечение охраны окружающей среды и экологической безопасности осуществляется в рамках государс</w:t>
      </w:r>
      <w:r>
        <w:rPr>
          <w:rFonts w:ascii="Times New Roman" w:eastAsia="Times New Roman" w:hAnsi="Times New Roman"/>
          <w:sz w:val="28"/>
          <w:szCs w:val="28"/>
          <w:lang w:eastAsia="ru-RU"/>
        </w:rPr>
        <w:t>твенных программ Камчатского края «Охрана окружающей среды, воспроизводство и использование природных ресурсов в Камчатском крае», «Развитие лесного хозяйства Камчатского края», «Обращение с отходами производства и потребления в Камчатском крае».</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рамках </w:t>
      </w:r>
      <w:r>
        <w:rPr>
          <w:rFonts w:ascii="Times New Roman" w:eastAsia="Times New Roman" w:hAnsi="Times New Roman"/>
          <w:sz w:val="28"/>
          <w:szCs w:val="28"/>
          <w:lang w:eastAsia="ru-RU"/>
        </w:rPr>
        <w:t>государственного экологического мониторинга Министерством природных ресурсов и экологии Камчатского края осуществлялось наполнение информационного портала системы экологического мониторинга в Камчатском крае Kamchatka.eco. Принят ряд нормативных правовых а</w:t>
      </w:r>
      <w:r>
        <w:rPr>
          <w:rFonts w:ascii="Times New Roman" w:eastAsia="Times New Roman" w:hAnsi="Times New Roman"/>
          <w:sz w:val="28"/>
          <w:szCs w:val="28"/>
          <w:lang w:eastAsia="ru-RU"/>
        </w:rPr>
        <w:t>ктов, регулирующих вопросы охраны окружающей среды, создания, охраны и функционирования особо охраняемых природных территорий (далее – ООПТ) регионального значения. КГБУ «Природный парк «Вулканы Камчатки» проведено 165 охранных мероприятий, направленных на</w:t>
      </w:r>
      <w:r>
        <w:rPr>
          <w:rFonts w:ascii="Times New Roman" w:eastAsia="Times New Roman" w:hAnsi="Times New Roman"/>
          <w:sz w:val="28"/>
          <w:szCs w:val="28"/>
          <w:lang w:eastAsia="ru-RU"/>
        </w:rPr>
        <w:t xml:space="preserve"> обеспечение сохранности природных комплексов, уникальных и эталонных природных участков, и объектов ООПТ. </w:t>
      </w:r>
    </w:p>
    <w:p w:rsidR="00583DA6" w:rsidRDefault="006A45D9">
      <w:pPr>
        <w:ind w:firstLine="709"/>
        <w:jc w:val="both"/>
        <w:rPr>
          <w:rFonts w:ascii="Times New Roman" w:hAnsi="Times New Roman"/>
          <w:sz w:val="28"/>
          <w:szCs w:val="28"/>
        </w:rPr>
      </w:pPr>
      <w:r>
        <w:rPr>
          <w:rFonts w:ascii="Times New Roman" w:hAnsi="Times New Roman"/>
          <w:sz w:val="28"/>
          <w:szCs w:val="28"/>
        </w:rPr>
        <w:t xml:space="preserve">В мероприятиях по проведению Дней защиты от экологической опасности в 2022 году в Камчатском крае в качестве исполнителей участвовали все 67 органа </w:t>
      </w:r>
      <w:r>
        <w:rPr>
          <w:rFonts w:ascii="Times New Roman" w:hAnsi="Times New Roman"/>
          <w:sz w:val="28"/>
          <w:szCs w:val="28"/>
        </w:rPr>
        <w:t>местного самоуправления Камчатского края (3 городские округа, 5 городских поселений, 11 муниципальных районов и 48 сельских поселений), а также ряд заинтересованных министерств, агентств и ведомств федерального и регионального подчинения. Общее число участ</w:t>
      </w:r>
      <w:r>
        <w:rPr>
          <w:rFonts w:ascii="Times New Roman" w:hAnsi="Times New Roman"/>
          <w:sz w:val="28"/>
          <w:szCs w:val="28"/>
        </w:rPr>
        <w:t>ников мероприятия – более 30,0 тыс. человек.</w:t>
      </w:r>
    </w:p>
    <w:p w:rsidR="00583DA6" w:rsidRDefault="006A45D9">
      <w:pPr>
        <w:spacing w:line="271"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Построены сейсмологические модели очагов-кандидатов на «худший случай» (при проявлениях цунами в районе Октябрьской косы). Проведены предварительные расчеты распространения и воздействия цунами.</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отчетном перио</w:t>
      </w:r>
      <w:r>
        <w:rPr>
          <w:rFonts w:ascii="Times New Roman" w:eastAsia="Times New Roman" w:hAnsi="Times New Roman"/>
          <w:sz w:val="28"/>
          <w:szCs w:val="28"/>
          <w:lang w:eastAsia="ru-RU"/>
        </w:rPr>
        <w:t>де Министерством совместно с КГБУ «Природный парк «Вулканы Камчатки» и КГКУ «Служба по охране объектов животного мира» проведено 1067 эколого-просветительских мероприятий, что значительно превысило плановое значение. Изменение показателя в сторону увеличен</w:t>
      </w:r>
      <w:r>
        <w:rPr>
          <w:rFonts w:ascii="Times New Roman" w:eastAsia="Times New Roman" w:hAnsi="Times New Roman"/>
          <w:sz w:val="28"/>
          <w:szCs w:val="28"/>
          <w:lang w:eastAsia="ru-RU"/>
        </w:rPr>
        <w:t>ия произошло по причине активизации эколого-просветительской работы среди населения, проводимой подведомственным Министерству КГКУ «Служба по охране животного мира».</w:t>
      </w:r>
    </w:p>
    <w:p w:rsidR="00583DA6" w:rsidRDefault="006A45D9">
      <w:pPr>
        <w:spacing w:line="360" w:lineRule="exact"/>
        <w:ind w:firstLine="709"/>
        <w:jc w:val="both"/>
        <w:rPr>
          <w:rFonts w:ascii="Times New Roman" w:hAnsi="Times New Roman"/>
          <w:sz w:val="28"/>
          <w:szCs w:val="28"/>
        </w:rPr>
      </w:pPr>
      <w:r>
        <w:rPr>
          <w:rFonts w:ascii="Times New Roman" w:hAnsi="Times New Roman"/>
          <w:sz w:val="28"/>
          <w:szCs w:val="28"/>
        </w:rPr>
        <w:t xml:space="preserve">Ухудшение макроэкономической ситуации в 2023 году может привести к сокращению расходов на </w:t>
      </w:r>
      <w:r>
        <w:rPr>
          <w:rFonts w:ascii="Times New Roman" w:hAnsi="Times New Roman"/>
          <w:sz w:val="28"/>
          <w:szCs w:val="28"/>
        </w:rPr>
        <w:t>реализацию мероприятий в сфере охраны окружающей среды и природопользования.</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сфере охраны лесов от пожаров Агентством лесного хозяйства Камчатского края разработаны и приняты значимые нормативные правовые акты. В течение пожароопасного сезона осуществлял</w:t>
      </w:r>
      <w:r>
        <w:rPr>
          <w:rFonts w:ascii="Times New Roman" w:eastAsia="Times New Roman" w:hAnsi="Times New Roman"/>
          <w:sz w:val="28"/>
          <w:szCs w:val="28"/>
          <w:lang w:eastAsia="ru-RU"/>
        </w:rPr>
        <w:t>ся мониторинг пожарной опасности в лесах, расположенных на землях лесного фонда. Приобретена противопожарная техника и средства пожаротушения. Население информировалось в средствах массовой информации, по радио и в сети Интернет о пожарной опасности в леса</w:t>
      </w:r>
      <w:r>
        <w:rPr>
          <w:rFonts w:ascii="Times New Roman" w:eastAsia="Times New Roman" w:hAnsi="Times New Roman"/>
          <w:sz w:val="28"/>
          <w:szCs w:val="28"/>
          <w:lang w:eastAsia="ru-RU"/>
        </w:rPr>
        <w:t>х, о введении особого противопожарного режима и режима чрезвычайной ситуации в муниципальных районах края.</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Сохранение экологического потенциала лесов обеспечивалось реализацией мероприятий по лесоразведению и лесовосстановлению. Предотвращается рост случае</w:t>
      </w:r>
      <w:r>
        <w:rPr>
          <w:rFonts w:ascii="Times New Roman" w:eastAsia="Times New Roman" w:hAnsi="Times New Roman"/>
          <w:sz w:val="28"/>
          <w:szCs w:val="28"/>
          <w:lang w:eastAsia="ru-RU"/>
        </w:rPr>
        <w:t>в незаконных рубок, естественное лесовосстановление леса выполняется по государственному заданию и за счет арендаторов по заготовке древесины.</w:t>
      </w:r>
    </w:p>
    <w:p w:rsidR="00583DA6" w:rsidRDefault="006A45D9">
      <w:pPr>
        <w:ind w:firstLine="709"/>
        <w:jc w:val="both"/>
        <w:rPr>
          <w:rFonts w:ascii="Times New Roman" w:hAnsi="Times New Roman"/>
          <w:sz w:val="28"/>
          <w:szCs w:val="28"/>
          <w:lang w:eastAsia="zh-CN"/>
        </w:rPr>
      </w:pPr>
      <w:r>
        <w:rPr>
          <w:rFonts w:ascii="Times New Roman" w:hAnsi="Times New Roman"/>
          <w:sz w:val="28"/>
          <w:szCs w:val="28"/>
        </w:rPr>
        <w:t>Сохранению объема платежей в бюджетную систему Российской Федерации от использования лесов на уровне 5,7 рублей с</w:t>
      </w:r>
      <w:r>
        <w:rPr>
          <w:rFonts w:ascii="Times New Roman" w:hAnsi="Times New Roman"/>
          <w:sz w:val="28"/>
          <w:szCs w:val="28"/>
        </w:rPr>
        <w:t xml:space="preserve"> 1 га земель лесного фонда в 2022 году способствовало выполнение следующих мероприятий:</w:t>
      </w:r>
    </w:p>
    <w:p w:rsidR="00583DA6" w:rsidRDefault="006A45D9">
      <w:pPr>
        <w:ind w:firstLine="709"/>
        <w:jc w:val="both"/>
        <w:rPr>
          <w:rFonts w:ascii="Times New Roman" w:hAnsi="Times New Roman"/>
          <w:sz w:val="28"/>
          <w:szCs w:val="28"/>
        </w:rPr>
      </w:pPr>
      <w:r>
        <w:rPr>
          <w:rFonts w:ascii="Times New Roman" w:hAnsi="Times New Roman"/>
          <w:sz w:val="28"/>
          <w:szCs w:val="28"/>
        </w:rPr>
        <w:t>- проведение аукционов по продаже права на заключение договоров аренды лесных участков;</w:t>
      </w:r>
    </w:p>
    <w:p w:rsidR="00583DA6" w:rsidRDefault="006A45D9">
      <w:pPr>
        <w:ind w:firstLine="709"/>
        <w:jc w:val="both"/>
        <w:rPr>
          <w:rFonts w:ascii="Times New Roman" w:hAnsi="Times New Roman"/>
          <w:sz w:val="28"/>
          <w:szCs w:val="28"/>
        </w:rPr>
      </w:pPr>
      <w:r>
        <w:rPr>
          <w:rFonts w:ascii="Times New Roman" w:hAnsi="Times New Roman"/>
          <w:sz w:val="28"/>
          <w:szCs w:val="28"/>
        </w:rPr>
        <w:t>- проведение аукционов по продаже права на заключение договоров купли-продажи ле</w:t>
      </w:r>
      <w:r>
        <w:rPr>
          <w:rFonts w:ascii="Times New Roman" w:hAnsi="Times New Roman"/>
          <w:sz w:val="28"/>
          <w:szCs w:val="28"/>
        </w:rPr>
        <w:t>сных насаждений;</w:t>
      </w:r>
    </w:p>
    <w:p w:rsidR="00583DA6" w:rsidRDefault="006A45D9">
      <w:pPr>
        <w:ind w:firstLine="709"/>
        <w:jc w:val="both"/>
        <w:rPr>
          <w:rFonts w:ascii="Times New Roman" w:hAnsi="Times New Roman"/>
          <w:sz w:val="28"/>
          <w:szCs w:val="28"/>
        </w:rPr>
      </w:pPr>
      <w:r>
        <w:rPr>
          <w:rFonts w:ascii="Times New Roman" w:hAnsi="Times New Roman"/>
          <w:sz w:val="28"/>
          <w:szCs w:val="28"/>
        </w:rPr>
        <w:t>- заключение договоров аренды лесных участков без проведения аукционов;</w:t>
      </w:r>
    </w:p>
    <w:p w:rsidR="00583DA6" w:rsidRDefault="006A45D9">
      <w:pPr>
        <w:ind w:firstLine="709"/>
        <w:jc w:val="both"/>
        <w:rPr>
          <w:rFonts w:ascii="Times New Roman" w:hAnsi="Times New Roman"/>
          <w:sz w:val="28"/>
          <w:szCs w:val="28"/>
        </w:rPr>
      </w:pPr>
      <w:r>
        <w:rPr>
          <w:rFonts w:ascii="Times New Roman" w:hAnsi="Times New Roman"/>
          <w:sz w:val="28"/>
          <w:szCs w:val="28"/>
        </w:rPr>
        <w:t>- осуществление мероприятий по снижению и недопущению недоимки по арендным платежам за пользование лесами.</w:t>
      </w:r>
    </w:p>
    <w:p w:rsidR="00583DA6" w:rsidRDefault="006A45D9">
      <w:pPr>
        <w:ind w:firstLine="709"/>
        <w:jc w:val="both"/>
        <w:rPr>
          <w:rFonts w:ascii="Times New Roman" w:hAnsi="Times New Roman"/>
          <w:sz w:val="28"/>
          <w:szCs w:val="28"/>
        </w:rPr>
      </w:pPr>
      <w:r>
        <w:rPr>
          <w:rFonts w:ascii="Times New Roman" w:hAnsi="Times New Roman"/>
          <w:sz w:val="28"/>
          <w:szCs w:val="28"/>
        </w:rPr>
        <w:t>Всего передано в пользование 2 394,0 тыс. га, или 5,4 % от п</w:t>
      </w:r>
      <w:r>
        <w:rPr>
          <w:rFonts w:ascii="Times New Roman" w:hAnsi="Times New Roman"/>
          <w:sz w:val="28"/>
          <w:szCs w:val="28"/>
        </w:rPr>
        <w:t>лощади земель лесного фонда.</w:t>
      </w:r>
    </w:p>
    <w:p w:rsidR="00583DA6" w:rsidRDefault="006A45D9">
      <w:pPr>
        <w:ind w:firstLine="709"/>
        <w:jc w:val="both"/>
        <w:rPr>
          <w:rFonts w:ascii="Times New Roman" w:hAnsi="Times New Roman"/>
          <w:sz w:val="28"/>
          <w:szCs w:val="28"/>
          <w:lang w:eastAsia="zh-CN"/>
        </w:rPr>
      </w:pPr>
      <w:r>
        <w:rPr>
          <w:rFonts w:ascii="Times New Roman" w:hAnsi="Times New Roman"/>
          <w:sz w:val="28"/>
          <w:szCs w:val="28"/>
        </w:rPr>
        <w:t>В лесном фонде зарегистрировано 36 лесных пожаров на общей площади 9060,13 га, для сравнения в 2021 году 50 лесных пожаров на общей площади 172868,58 га, уменьшение площади в 19 раз.</w:t>
      </w:r>
    </w:p>
    <w:p w:rsidR="00583DA6" w:rsidRDefault="006A45D9">
      <w:pPr>
        <w:ind w:firstLine="709"/>
        <w:jc w:val="both"/>
        <w:rPr>
          <w:rFonts w:ascii="Times New Roman" w:hAnsi="Times New Roman"/>
          <w:sz w:val="28"/>
          <w:szCs w:val="28"/>
          <w:lang w:eastAsia="zh-CN"/>
        </w:rPr>
      </w:pPr>
      <w:r>
        <w:rPr>
          <w:rFonts w:ascii="Times New Roman" w:hAnsi="Times New Roman"/>
          <w:sz w:val="28"/>
          <w:szCs w:val="28"/>
        </w:rPr>
        <w:t>Естественное лесовосстановление леса выполня</w:t>
      </w:r>
      <w:r>
        <w:rPr>
          <w:rFonts w:ascii="Times New Roman" w:hAnsi="Times New Roman"/>
          <w:sz w:val="28"/>
          <w:szCs w:val="28"/>
        </w:rPr>
        <w:t>ется по государственному заданию и за счет арендаторов по заготовке древесины. В текущем году мероприятия по содействию выполнены на площади 134,6 га.</w:t>
      </w:r>
    </w:p>
    <w:p w:rsidR="00583DA6" w:rsidRDefault="006A45D9">
      <w:pPr>
        <w:ind w:firstLine="709"/>
        <w:jc w:val="both"/>
        <w:rPr>
          <w:rFonts w:ascii="Times New Roman" w:hAnsi="Times New Roman"/>
          <w:sz w:val="28"/>
          <w:szCs w:val="28"/>
        </w:rPr>
      </w:pPr>
      <w:r>
        <w:rPr>
          <w:rFonts w:ascii="Times New Roman" w:hAnsi="Times New Roman"/>
          <w:sz w:val="28"/>
          <w:szCs w:val="28"/>
        </w:rPr>
        <w:t>Кроме того, в рамках осуществления «компенсационного» лесовосстановления за счёт сил и средств арендаторо</w:t>
      </w:r>
      <w:r>
        <w:rPr>
          <w:rFonts w:ascii="Times New Roman" w:hAnsi="Times New Roman"/>
          <w:sz w:val="28"/>
          <w:szCs w:val="28"/>
        </w:rPr>
        <w:t>в в 2022 году на землях лесного фонда осуществлено искусственное лесовосстановление на площади 112,8 га способом посева семян берёзы каменной.</w:t>
      </w:r>
    </w:p>
    <w:p w:rsidR="00583DA6" w:rsidRDefault="006A45D9">
      <w:pPr>
        <w:ind w:firstLine="709"/>
        <w:jc w:val="both"/>
        <w:rPr>
          <w:rFonts w:ascii="Times New Roman" w:hAnsi="Times New Roman"/>
          <w:sz w:val="28"/>
          <w:szCs w:val="28"/>
          <w:lang w:eastAsia="zh-CN"/>
        </w:rPr>
      </w:pPr>
      <w:r>
        <w:rPr>
          <w:rFonts w:ascii="Times New Roman" w:hAnsi="Times New Roman"/>
          <w:sz w:val="28"/>
          <w:szCs w:val="28"/>
        </w:rPr>
        <w:t>В целях оперативного реагирования на возникающие лесные пожары в отдаленных (труднодоступных) районах Камчатского</w:t>
      </w:r>
      <w:r>
        <w:rPr>
          <w:rFonts w:ascii="Times New Roman" w:hAnsi="Times New Roman"/>
          <w:sz w:val="28"/>
          <w:szCs w:val="28"/>
        </w:rPr>
        <w:t xml:space="preserve"> края дополнительно создано авиаотделение в пос. Козыревск общей численностью 9 человек и лесопожарная станция I типа в с. Каменское Пенжинского муниципального района общей численностью 4 человека. Увеличен штат КГАУ «Охрана камчатских лесов» на 16 человек</w:t>
      </w:r>
      <w:r>
        <w:rPr>
          <w:rFonts w:ascii="Times New Roman" w:hAnsi="Times New Roman"/>
          <w:sz w:val="28"/>
          <w:szCs w:val="28"/>
        </w:rPr>
        <w:t xml:space="preserve">, в том числе зачислены в штат 14 десантников-пожарных, начальник Козыревского авиаотделения и летчик наблюдатель Козыревского авиаотделения. </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Укрепление материально-технической базы учреждений лесного хозяйства Камчатского края для обеспечения эффективног</w:t>
      </w:r>
      <w:r>
        <w:rPr>
          <w:rFonts w:ascii="Times New Roman" w:eastAsia="Times New Roman" w:hAnsi="Times New Roman"/>
          <w:sz w:val="28"/>
          <w:szCs w:val="28"/>
          <w:lang w:eastAsia="ru-RU"/>
        </w:rPr>
        <w:t>о управления лесным фондом обеспечивалось в рамках федерального проекта «Сохранение лесов» национального проекта «Экология», приобретена противопожарная техника и средства пожаротушения.</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Реализация мероприятий государственной программы Камчатского края «Об</w:t>
      </w:r>
      <w:r>
        <w:rPr>
          <w:rFonts w:ascii="Times New Roman" w:eastAsia="Times New Roman" w:hAnsi="Times New Roman"/>
          <w:sz w:val="28"/>
          <w:szCs w:val="28"/>
          <w:lang w:eastAsia="ru-RU"/>
        </w:rPr>
        <w:t>ращение с отходами производства и потребления в Камчатском крае» направлена на снижение негативного воздействия отходов на окружающую среду и здоровье населения Камчатского края. В результате выявления случаев причинения вреда окружающей среде при размещен</w:t>
      </w:r>
      <w:r>
        <w:rPr>
          <w:rFonts w:ascii="Times New Roman" w:eastAsia="Times New Roman" w:hAnsi="Times New Roman"/>
          <w:sz w:val="28"/>
          <w:szCs w:val="28"/>
          <w:lang w:eastAsia="ru-RU"/>
        </w:rPr>
        <w:t>ии бесхозяйных отходов ликвидированы места несанкционированного размещения отходов в 13 муниципальных образованиях Камчатского края.</w:t>
      </w:r>
    </w:p>
    <w:p w:rsidR="00583DA6" w:rsidRDefault="006A45D9">
      <w:pPr>
        <w:ind w:firstLine="709"/>
        <w:jc w:val="both"/>
        <w:rPr>
          <w:rFonts w:ascii="Times New Roman" w:hAnsi="Times New Roman"/>
          <w:sz w:val="28"/>
          <w:szCs w:val="28"/>
        </w:rPr>
      </w:pPr>
      <w:r>
        <w:rPr>
          <w:rFonts w:ascii="Times New Roman" w:hAnsi="Times New Roman"/>
          <w:sz w:val="28"/>
          <w:szCs w:val="28"/>
        </w:rPr>
        <w:t>В рамках достижения результатов и показателей Национального проекта «Экология» на территории Камчатского края осуществляетс</w:t>
      </w:r>
      <w:r>
        <w:rPr>
          <w:rFonts w:ascii="Times New Roman" w:hAnsi="Times New Roman"/>
          <w:sz w:val="28"/>
          <w:szCs w:val="28"/>
        </w:rPr>
        <w:t>я реализация эффективной комплексной системы обращения с отходами на территории Камчатского края осуществлено мероприятие по модернизации специализированной техники и оборудования. Модернизация системы обращения с ТКО проведена за счет обновления подвижног</w:t>
      </w:r>
      <w:r>
        <w:rPr>
          <w:rFonts w:ascii="Times New Roman" w:hAnsi="Times New Roman"/>
          <w:sz w:val="28"/>
          <w:szCs w:val="28"/>
        </w:rPr>
        <w:t>о состава парка специализированной техники регионального оператора по обращению с ТКО, как в части сбора и транспортирования отходов, так и в части размещения отходов.</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С 01 марта 2022 года на территории Камчатского края осуществляется раздельный сбор ТКО. </w:t>
      </w:r>
      <w:r>
        <w:rPr>
          <w:rFonts w:ascii="Times New Roman" w:eastAsia="Times New Roman" w:hAnsi="Times New Roman"/>
          <w:sz w:val="28"/>
          <w:szCs w:val="28"/>
          <w:lang w:eastAsia="ru-RU"/>
        </w:rPr>
        <w:t>Организована двухпоточная система накопления, сбора и транспортирования ТКО.</w:t>
      </w:r>
    </w:p>
    <w:p w:rsidR="00583DA6" w:rsidRDefault="006A45D9">
      <w:pPr>
        <w:ind w:firstLine="709"/>
        <w:jc w:val="both"/>
        <w:rPr>
          <w:rFonts w:ascii="Times New Roman" w:hAnsi="Times New Roman"/>
          <w:sz w:val="28"/>
          <w:szCs w:val="28"/>
        </w:rPr>
      </w:pPr>
      <w:r>
        <w:rPr>
          <w:rFonts w:ascii="Times New Roman" w:eastAsia="Times New Roman" w:hAnsi="Times New Roman"/>
          <w:sz w:val="28"/>
          <w:szCs w:val="28"/>
          <w:lang w:eastAsia="ru-RU"/>
        </w:rPr>
        <w:t>Данной услугой охвачено 2 (два) муниципальных образования Камчатского края: Петропавловск-Камчатский городской округ и Вилючинский городской округ.</w:t>
      </w:r>
    </w:p>
    <w:p w:rsidR="00583DA6" w:rsidRDefault="006A45D9">
      <w:pPr>
        <w:ind w:firstLine="709"/>
        <w:jc w:val="both"/>
        <w:rPr>
          <w:rFonts w:ascii="Times New Roman" w:hAnsi="Times New Roman"/>
          <w:sz w:val="28"/>
          <w:szCs w:val="28"/>
        </w:rPr>
      </w:pPr>
      <w:r>
        <w:rPr>
          <w:rFonts w:ascii="Times New Roman" w:eastAsia="Times New Roman" w:hAnsi="Times New Roman"/>
          <w:sz w:val="28"/>
          <w:szCs w:val="28"/>
          <w:lang w:eastAsia="ru-RU"/>
        </w:rPr>
        <w:t xml:space="preserve">По состоянию на 31.12.2022 </w:t>
      </w:r>
      <w:r>
        <w:rPr>
          <w:rFonts w:ascii="Times New Roman" w:eastAsia="Times New Roman" w:hAnsi="Times New Roman"/>
          <w:sz w:val="28"/>
          <w:szCs w:val="28"/>
          <w:lang w:eastAsia="ru-RU"/>
        </w:rPr>
        <w:t>установлено 311 контейнеров для РСО, из них 268 в населенном пункте с численностью более 100 тыс. жителей.</w:t>
      </w:r>
    </w:p>
    <w:p w:rsidR="00583DA6" w:rsidRDefault="006A45D9">
      <w:pPr>
        <w:ind w:firstLine="709"/>
        <w:jc w:val="both"/>
        <w:rPr>
          <w:rFonts w:ascii="Times New Roman" w:hAnsi="Times New Roman"/>
          <w:sz w:val="28"/>
          <w:szCs w:val="28"/>
        </w:rPr>
      </w:pPr>
      <w:r>
        <w:rPr>
          <w:rFonts w:ascii="Times New Roman" w:eastAsia="Times New Roman" w:hAnsi="Times New Roman"/>
          <w:sz w:val="28"/>
          <w:szCs w:val="28"/>
          <w:lang w:eastAsia="ru-RU"/>
        </w:rPr>
        <w:t>Введенный в 2020 году на территории Петропавловск-Камчатского городского округа мусороперерабатывающий комплекс, продолжает осуществлять деятельность</w:t>
      </w:r>
      <w:r>
        <w:rPr>
          <w:rFonts w:ascii="Times New Roman" w:eastAsia="Times New Roman" w:hAnsi="Times New Roman"/>
          <w:sz w:val="28"/>
          <w:szCs w:val="28"/>
          <w:lang w:eastAsia="ru-RU"/>
        </w:rPr>
        <w:t xml:space="preserve"> по обработке и утилизации ТКО, что позволяет сократить массу ТКО, направляемых на захоронение, а также достигать исполнение основных показателей национального проекта «Экология»</w:t>
      </w:r>
      <w:r>
        <w:rPr>
          <w:rFonts w:ascii="Times New Roman" w:hAnsi="Times New Roman"/>
          <w:sz w:val="28"/>
          <w:szCs w:val="28"/>
        </w:rPr>
        <w:t>.</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Вместе с тем, со второй половины 2021 года возобновил свою деятельность мусо</w:t>
      </w:r>
      <w:r>
        <w:rPr>
          <w:rFonts w:ascii="Times New Roman" w:eastAsia="Times New Roman" w:hAnsi="Times New Roman"/>
          <w:sz w:val="28"/>
          <w:szCs w:val="28"/>
          <w:lang w:eastAsia="ru-RU"/>
        </w:rPr>
        <w:t>росортировочный комплекс на территории Елизовского муниципального района. Деятельность комплекса позволяет реализовать основные требования законодательства и направлять твердые коммунальные отходы (далее – ТКО) на обработку как с территории Вилючинского ЗА</w:t>
      </w:r>
      <w:r>
        <w:rPr>
          <w:rFonts w:ascii="Times New Roman" w:eastAsia="Times New Roman" w:hAnsi="Times New Roman"/>
          <w:sz w:val="28"/>
          <w:szCs w:val="28"/>
          <w:lang w:eastAsia="ru-RU"/>
        </w:rPr>
        <w:t>ТО, так и со всей территории Елизовского муниципального района.</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Доля ТКО, направленных на обработку (сортировку), в общей массе образованных ТКО составила 84,8% при плановом значении показателя – 47%.</w:t>
      </w:r>
    </w:p>
    <w:p w:rsidR="00583DA6" w:rsidRDefault="006A45D9">
      <w:pPr>
        <w:pStyle w:val="aff2"/>
        <w:tabs>
          <w:tab w:val="left" w:pos="0"/>
        </w:tabs>
        <w:ind w:left="0" w:firstLine="709"/>
        <w:jc w:val="both"/>
        <w:rPr>
          <w:rFonts w:ascii="Times New Roman" w:hAnsi="Times New Roman"/>
          <w:sz w:val="28"/>
          <w:szCs w:val="28"/>
        </w:rPr>
      </w:pPr>
      <w:r>
        <w:rPr>
          <w:rFonts w:ascii="Times New Roman" w:hAnsi="Times New Roman"/>
          <w:sz w:val="28"/>
          <w:szCs w:val="28"/>
        </w:rPr>
        <w:t>В то же время следует указать на наличие основных препя</w:t>
      </w:r>
      <w:r>
        <w:rPr>
          <w:rFonts w:ascii="Times New Roman" w:hAnsi="Times New Roman"/>
          <w:sz w:val="28"/>
          <w:szCs w:val="28"/>
        </w:rPr>
        <w:t>тствий к исполнению мероприятий по проектированию, строительству объектов размещения отходов, в том числе ТКО: нахождение перспективных земельных участков в установленной 6 приаэродромной подзоне в ряде муниципальных образований, одновременное расположение</w:t>
      </w:r>
      <w:r>
        <w:rPr>
          <w:rFonts w:ascii="Times New Roman" w:hAnsi="Times New Roman"/>
          <w:sz w:val="28"/>
          <w:szCs w:val="28"/>
        </w:rPr>
        <w:t xml:space="preserve"> таких земельных участков в землях лесного фонда, расположение грунтовых вод, природоохранные зоны, в том числе ООПТ.</w:t>
      </w:r>
    </w:p>
    <w:p w:rsidR="00583DA6" w:rsidRDefault="00583DA6">
      <w:pPr>
        <w:ind w:firstLine="709"/>
        <w:contextualSpacing/>
        <w:jc w:val="both"/>
        <w:rPr>
          <w:rFonts w:ascii="Times New Roman" w:eastAsia="Times New Roman" w:hAnsi="Times New Roman"/>
          <w:sz w:val="28"/>
          <w:szCs w:val="28"/>
          <w:lang w:eastAsia="ru-RU"/>
        </w:rPr>
      </w:pPr>
    </w:p>
    <w:p w:rsidR="00583DA6" w:rsidRDefault="006A45D9">
      <w:pPr>
        <w:pBdr>
          <w:top w:val="single" w:sz="18" w:space="1" w:color="000000"/>
        </w:pBdr>
        <w:ind w:firstLine="709"/>
        <w:jc w:val="both"/>
        <w:outlineLvl w:val="2"/>
        <w:rPr>
          <w:rFonts w:ascii="Times New Roman" w:eastAsia="Times New Roman" w:hAnsi="Times New Roman"/>
          <w:b/>
          <w:sz w:val="28"/>
          <w:szCs w:val="28"/>
          <w:lang w:eastAsia="ru-RU"/>
        </w:rPr>
      </w:pPr>
      <w:bookmarkStart w:id="17" w:name="_Toc132664206"/>
      <w:r>
        <w:rPr>
          <w:rFonts w:ascii="Times New Roman" w:eastAsia="Times New Roman" w:hAnsi="Times New Roman"/>
          <w:b/>
          <w:sz w:val="28"/>
          <w:szCs w:val="28"/>
          <w:lang w:eastAsia="ru-RU"/>
        </w:rPr>
        <w:t>Транспорт и связь</w:t>
      </w:r>
      <w:bookmarkEnd w:id="17"/>
    </w:p>
    <w:p w:rsidR="00583DA6" w:rsidRDefault="00583DA6">
      <w:pPr>
        <w:pBdr>
          <w:top w:val="single" w:sz="18" w:space="1" w:color="000000"/>
        </w:pBdr>
        <w:ind w:firstLine="709"/>
        <w:jc w:val="both"/>
        <w:rPr>
          <w:rFonts w:ascii="Times New Roman" w:eastAsia="Times New Roman" w:hAnsi="Times New Roman"/>
          <w:b/>
          <w:sz w:val="28"/>
          <w:szCs w:val="28"/>
          <w:lang w:eastAsia="ru-RU"/>
        </w:rPr>
      </w:pPr>
    </w:p>
    <w:p w:rsidR="00583DA6" w:rsidRDefault="006A45D9">
      <w:pPr>
        <w:ind w:firstLine="709"/>
        <w:jc w:val="both"/>
        <w:rPr>
          <w:rFonts w:ascii="Times New Roman" w:hAnsi="Times New Roman"/>
          <w:sz w:val="28"/>
          <w:szCs w:val="28"/>
        </w:rPr>
      </w:pPr>
      <w:r>
        <w:rPr>
          <w:rFonts w:ascii="Times New Roman" w:eastAsia="Times New Roman" w:hAnsi="Times New Roman"/>
          <w:sz w:val="28"/>
          <w:szCs w:val="28"/>
          <w:lang w:eastAsia="ru-RU"/>
        </w:rPr>
        <w:t xml:space="preserve">По данным Министерства транспорта и дорожного строительства Камчатского края в 2022 году основными результатами </w:t>
      </w:r>
      <w:r>
        <w:rPr>
          <w:rFonts w:ascii="Times New Roman" w:eastAsia="Times New Roman" w:hAnsi="Times New Roman"/>
          <w:sz w:val="28"/>
          <w:szCs w:val="28"/>
          <w:lang w:eastAsia="ru-RU"/>
        </w:rPr>
        <w:t>реализации государственной программы «Развитие транспортной системы в Камчатском крае» стало достижение плановых показателей регионального проекта «Региональная и местная дорожная сеть (Камчатский край)»</w:t>
      </w:r>
      <w:r>
        <w:rPr>
          <w:rFonts w:ascii="Times New Roman" w:hAnsi="Times New Roman"/>
          <w:sz w:val="28"/>
          <w:szCs w:val="28"/>
        </w:rPr>
        <w:t xml:space="preserve"> завершена реконструкция автомобильной дороги Начикин</w:t>
      </w:r>
      <w:r>
        <w:rPr>
          <w:rFonts w:ascii="Times New Roman" w:hAnsi="Times New Roman"/>
          <w:sz w:val="28"/>
          <w:szCs w:val="28"/>
        </w:rPr>
        <w:t xml:space="preserve">ский совхоз - Усть-Большерецк - п. Октябрьский с подъездом к пристани Косоево – колхоз им. Октябрьской революции на участке км 0 - км 5, Протяженность участка – 4,921 км. </w:t>
      </w:r>
    </w:p>
    <w:p w:rsidR="00583DA6" w:rsidRDefault="006A45D9">
      <w:pPr>
        <w:ind w:firstLine="709"/>
        <w:jc w:val="both"/>
        <w:rPr>
          <w:rFonts w:ascii="Times New Roman" w:hAnsi="Times New Roman"/>
          <w:sz w:val="28"/>
          <w:szCs w:val="28"/>
        </w:rPr>
      </w:pPr>
      <w:r>
        <w:rPr>
          <w:rFonts w:ascii="Times New Roman" w:hAnsi="Times New Roman"/>
          <w:sz w:val="28"/>
          <w:szCs w:val="28"/>
        </w:rPr>
        <w:t>Продолжается строительство подъезда к проектируемому аэровокзалу в г. Елизово от авт</w:t>
      </w:r>
      <w:r>
        <w:rPr>
          <w:rFonts w:ascii="Times New Roman" w:hAnsi="Times New Roman"/>
          <w:sz w:val="28"/>
          <w:szCs w:val="28"/>
        </w:rPr>
        <w:t>омобильной дороги А-401 «Подъездная дорога от морского порта Петропавловск-Камчатский к аэропорту Петропавловск-Камчатский (Елизово) на участке 34», завершение работ планируется в ноябре 2023 года.</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В 2022 году в рамках мероприятия «</w:t>
      </w:r>
      <w:r>
        <w:rPr>
          <w:rFonts w:ascii="Times New Roman" w:hAnsi="Times New Roman"/>
          <w:b/>
          <w:sz w:val="28"/>
          <w:szCs w:val="28"/>
        </w:rPr>
        <w:t>Капитальный ремонт, ремо</w:t>
      </w:r>
      <w:r>
        <w:rPr>
          <w:rFonts w:ascii="Times New Roman" w:hAnsi="Times New Roman"/>
          <w:b/>
          <w:sz w:val="28"/>
          <w:szCs w:val="28"/>
        </w:rPr>
        <w:t>нт, содержанию автомобильных дорог общего пользования регионального и межмуниципального значения в Камчатском крае»</w:t>
      </w:r>
      <w:r>
        <w:rPr>
          <w:rFonts w:ascii="Times New Roman" w:hAnsi="Times New Roman"/>
          <w:sz w:val="28"/>
          <w:szCs w:val="28"/>
        </w:rPr>
        <w:t xml:space="preserve"> было освоено 2 480,731 млн рублей краевого бюджета (или 98,4% от предусмотренных ассигнований) и 1 187,535 млн руб. федерального бюджета (10</w:t>
      </w:r>
      <w:r>
        <w:rPr>
          <w:rFonts w:ascii="Times New Roman" w:hAnsi="Times New Roman"/>
          <w:sz w:val="28"/>
          <w:szCs w:val="28"/>
        </w:rPr>
        <w:t>0% от предусмотренных ассигнований). В 2022 году был проведен капитальный ремонт автомобильной дороги Елизово - Паратунка.  Обустройство недостающим электроосвещением. II этап (пешеходные переходы км 10+237; 10+625; 15+857; 22+327; 22+415; 27+201;27+580; 2</w:t>
      </w:r>
      <w:r>
        <w:rPr>
          <w:rFonts w:ascii="Times New Roman" w:hAnsi="Times New Roman"/>
          <w:sz w:val="28"/>
          <w:szCs w:val="28"/>
        </w:rPr>
        <w:t xml:space="preserve">8+180), протяженность участка 2,88 км. </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Начат капитальный ремонт автомобильной дороги Петропавловск-Камчатский - Мильково, 49 км - с. Коряки.  Обустройство недостающим электроосвещением на участке км 0 +000 - км 1+500 (от места примыкания дороги 0 км + 0 м</w:t>
      </w:r>
      <w:r>
        <w:rPr>
          <w:rFonts w:ascii="Times New Roman" w:hAnsi="Times New Roman"/>
          <w:sz w:val="28"/>
          <w:szCs w:val="28"/>
        </w:rPr>
        <w:t xml:space="preserve">етров до 1 км +500 метров, в сторону п. Коряки ул. Шоссейная)», протяженность участка 1,553 км. Срок окончания работ запланирован на ноябрь 2023 года. </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Также начат капитальный ремонт мостового перехода через р. Быстрая на автомобильной дороге Начикинский с</w:t>
      </w:r>
      <w:r>
        <w:rPr>
          <w:rFonts w:ascii="Times New Roman" w:hAnsi="Times New Roman"/>
          <w:sz w:val="28"/>
          <w:szCs w:val="28"/>
        </w:rPr>
        <w:t>/х - Усть-Большерецк - п. Октябрьский с подъездом к пристани Косоево и колхозу Октябрьской революции км 79+805. Мощность объекта – 226,490 пог.м., срок окончания работ октябрь 2024 год.</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В 2022 году выполнен ремонт моста и подмостовых сооружений через р. Пл</w:t>
      </w:r>
      <w:r>
        <w:rPr>
          <w:rFonts w:ascii="Times New Roman" w:hAnsi="Times New Roman"/>
          <w:sz w:val="28"/>
          <w:szCs w:val="28"/>
        </w:rPr>
        <w:t xml:space="preserve">отникова на автомобильной дороге Подъезд к санаторию Начики (мощность объекта 59,23 пог.м.) и начат ремонт мостового перехода через р. Удова на км 8 автомобильной дороги Соболево – Устьевое (мощность объекта 95,35 пог.м., срок сдачи объекта – октябрь 2023 </w:t>
      </w:r>
      <w:r>
        <w:rPr>
          <w:rFonts w:ascii="Times New Roman" w:hAnsi="Times New Roman"/>
          <w:sz w:val="28"/>
          <w:szCs w:val="28"/>
        </w:rPr>
        <w:t>года.</w:t>
      </w:r>
    </w:p>
    <w:p w:rsidR="00583DA6" w:rsidRDefault="006A45D9">
      <w:pPr>
        <w:ind w:firstLine="709"/>
        <w:contextualSpacing/>
        <w:jc w:val="both"/>
        <w:rPr>
          <w:rFonts w:ascii="Times New Roman" w:hAnsi="Times New Roman"/>
          <w:sz w:val="28"/>
          <w:szCs w:val="28"/>
        </w:rPr>
      </w:pPr>
      <w:r>
        <w:rPr>
          <w:rFonts w:ascii="Times New Roman" w:hAnsi="Times New Roman"/>
          <w:sz w:val="28"/>
          <w:szCs w:val="28"/>
        </w:rPr>
        <w:t xml:space="preserve">Протяженность линий искусственного освещения автомобильных дорог, введенных в эксплуатацию после ремонта и капитального ремонта составила 288 п.м. Были отремонтированы 5 водопропускных трубы (117,83 п.м.). </w:t>
      </w:r>
    </w:p>
    <w:p w:rsidR="00583DA6" w:rsidRDefault="006A45D9">
      <w:pPr>
        <w:ind w:firstLine="709"/>
        <w:jc w:val="both"/>
        <w:rPr>
          <w:rFonts w:ascii="Times New Roman" w:eastAsia="Cambria" w:hAnsi="Times New Roman"/>
          <w:sz w:val="28"/>
          <w:szCs w:val="28"/>
        </w:rPr>
      </w:pPr>
      <w:r>
        <w:rPr>
          <w:rFonts w:ascii="Times New Roman" w:hAnsi="Times New Roman"/>
          <w:sz w:val="28"/>
          <w:szCs w:val="28"/>
        </w:rPr>
        <w:t xml:space="preserve">В рамках регионального </w:t>
      </w:r>
      <w:r>
        <w:rPr>
          <w:rFonts w:ascii="Times New Roman" w:eastAsia="Cambria" w:hAnsi="Times New Roman"/>
          <w:sz w:val="28"/>
          <w:szCs w:val="28"/>
        </w:rPr>
        <w:t>проекта «Региональна</w:t>
      </w:r>
      <w:r>
        <w:rPr>
          <w:rFonts w:ascii="Times New Roman" w:eastAsia="Cambria" w:hAnsi="Times New Roman"/>
          <w:sz w:val="28"/>
          <w:szCs w:val="28"/>
        </w:rPr>
        <w:t>я и местная дорожная сеть (Камчатский край)»</w:t>
      </w:r>
      <w:r>
        <w:rPr>
          <w:rFonts w:ascii="Times New Roman" w:hAnsi="Times New Roman"/>
          <w:sz w:val="28"/>
          <w:szCs w:val="28"/>
        </w:rPr>
        <w:t xml:space="preserve"> в 2022 году завершены </w:t>
      </w:r>
      <w:r>
        <w:rPr>
          <w:rFonts w:ascii="Times New Roman" w:eastAsia="Cambria" w:hAnsi="Times New Roman"/>
          <w:sz w:val="28"/>
          <w:szCs w:val="28"/>
        </w:rPr>
        <w:t>работы по достижению целевых показателей данного регионального проекта:</w:t>
      </w:r>
    </w:p>
    <w:p w:rsidR="00583DA6" w:rsidRDefault="006A45D9">
      <w:pPr>
        <w:ind w:firstLine="709"/>
        <w:jc w:val="both"/>
        <w:rPr>
          <w:rFonts w:ascii="Times New Roman" w:eastAsia="Cambria" w:hAnsi="Times New Roman"/>
          <w:sz w:val="28"/>
          <w:szCs w:val="28"/>
        </w:rPr>
      </w:pPr>
      <w:r>
        <w:rPr>
          <w:rFonts w:ascii="Times New Roman" w:eastAsia="Cambria" w:hAnsi="Times New Roman"/>
          <w:sz w:val="28"/>
          <w:szCs w:val="28"/>
        </w:rPr>
        <w:t>- «Доля дорожной сети городских агломераций, находящаяся в нормативном состоянии» (в размере 69%) до 78,17 км;</w:t>
      </w:r>
    </w:p>
    <w:p w:rsidR="00583DA6" w:rsidRDefault="006A45D9">
      <w:pPr>
        <w:ind w:firstLine="709"/>
        <w:jc w:val="both"/>
        <w:rPr>
          <w:rFonts w:ascii="Times New Roman" w:eastAsia="Cambria" w:hAnsi="Times New Roman"/>
          <w:sz w:val="28"/>
          <w:szCs w:val="28"/>
        </w:rPr>
      </w:pPr>
      <w:r>
        <w:rPr>
          <w:rFonts w:ascii="Times New Roman" w:eastAsia="Cambria" w:hAnsi="Times New Roman"/>
          <w:sz w:val="28"/>
          <w:szCs w:val="28"/>
        </w:rPr>
        <w:t>- «Дол</w:t>
      </w:r>
      <w:r>
        <w:rPr>
          <w:rFonts w:ascii="Times New Roman" w:eastAsia="Cambria" w:hAnsi="Times New Roman"/>
          <w:sz w:val="28"/>
          <w:szCs w:val="28"/>
        </w:rPr>
        <w:t>я автомобильных дорог регионального и межмуниципального значения, соответствующих нормативным требованиям» (в размере 49,44%) до 683,86 км;</w:t>
      </w:r>
    </w:p>
    <w:p w:rsidR="00583DA6" w:rsidRDefault="006A45D9">
      <w:pPr>
        <w:ind w:firstLine="709"/>
        <w:jc w:val="both"/>
        <w:rPr>
          <w:rFonts w:ascii="Times New Roman" w:eastAsia="Cambria" w:hAnsi="Times New Roman"/>
          <w:sz w:val="28"/>
          <w:szCs w:val="28"/>
        </w:rPr>
      </w:pPr>
      <w:r>
        <w:rPr>
          <w:rFonts w:ascii="Times New Roman" w:eastAsia="Cambria" w:hAnsi="Times New Roman"/>
          <w:sz w:val="28"/>
          <w:szCs w:val="28"/>
        </w:rPr>
        <w:t>- «Доля отечественного оборудования (товаров, работ, услуг) в общем объеме закупок» (в размере 62%).</w:t>
      </w:r>
    </w:p>
    <w:p w:rsidR="00583DA6" w:rsidRDefault="006A45D9">
      <w:pPr>
        <w:ind w:firstLine="709"/>
        <w:jc w:val="both"/>
        <w:rPr>
          <w:rFonts w:ascii="Times New Roman" w:hAnsi="Times New Roman"/>
          <w:sz w:val="28"/>
          <w:szCs w:val="28"/>
        </w:rPr>
      </w:pPr>
      <w:r>
        <w:rPr>
          <w:rFonts w:ascii="Times New Roman" w:hAnsi="Times New Roman"/>
          <w:sz w:val="28"/>
          <w:szCs w:val="28"/>
        </w:rPr>
        <w:t xml:space="preserve">Для этих целей </w:t>
      </w:r>
      <w:r>
        <w:rPr>
          <w:rFonts w:ascii="Times New Roman" w:hAnsi="Times New Roman"/>
          <w:b/>
          <w:sz w:val="28"/>
          <w:szCs w:val="28"/>
        </w:rPr>
        <w:t>реализовано 10 объектов общей протяженностью 34,029</w:t>
      </w:r>
      <w:r>
        <w:rPr>
          <w:rFonts w:ascii="Times New Roman" w:hAnsi="Times New Roman"/>
          <w:sz w:val="28"/>
          <w:szCs w:val="28"/>
        </w:rPr>
        <w:t xml:space="preserve"> </w:t>
      </w:r>
      <w:r>
        <w:rPr>
          <w:rFonts w:ascii="Times New Roman" w:hAnsi="Times New Roman"/>
          <w:b/>
          <w:sz w:val="28"/>
          <w:szCs w:val="28"/>
        </w:rPr>
        <w:t xml:space="preserve">км </w:t>
      </w:r>
      <w:r>
        <w:rPr>
          <w:rFonts w:ascii="Times New Roman" w:hAnsi="Times New Roman"/>
          <w:sz w:val="28"/>
          <w:szCs w:val="28"/>
        </w:rPr>
        <w:t>в том числе:</w:t>
      </w:r>
    </w:p>
    <w:p w:rsidR="00583DA6" w:rsidRDefault="006A45D9">
      <w:pPr>
        <w:ind w:firstLine="709"/>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b/>
          <w:sz w:val="28"/>
          <w:szCs w:val="28"/>
        </w:rPr>
        <w:t>37 км</w:t>
      </w:r>
      <w:r>
        <w:rPr>
          <w:rFonts w:ascii="Times New Roman" w:hAnsi="Times New Roman"/>
          <w:sz w:val="28"/>
          <w:szCs w:val="28"/>
        </w:rPr>
        <w:t xml:space="preserve"> - на сети автодорог регионального значения; </w:t>
      </w:r>
    </w:p>
    <w:p w:rsidR="00583DA6" w:rsidRDefault="006A45D9">
      <w:pPr>
        <w:ind w:firstLine="709"/>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b/>
          <w:sz w:val="28"/>
          <w:szCs w:val="28"/>
        </w:rPr>
        <w:t>6,236 км</w:t>
      </w:r>
      <w:r>
        <w:rPr>
          <w:rFonts w:ascii="Times New Roman" w:hAnsi="Times New Roman"/>
          <w:sz w:val="28"/>
          <w:szCs w:val="28"/>
        </w:rPr>
        <w:t xml:space="preserve"> - на дорожной сети Петропавловск-Камчатской городской агломерации.</w:t>
      </w:r>
    </w:p>
    <w:p w:rsidR="00583DA6" w:rsidRDefault="006A45D9">
      <w:pPr>
        <w:widowControl w:val="0"/>
        <w:ind w:firstLine="709"/>
        <w:jc w:val="both"/>
        <w:rPr>
          <w:rFonts w:ascii="Times New Roman" w:hAnsi="Times New Roman"/>
          <w:sz w:val="28"/>
          <w:szCs w:val="28"/>
        </w:rPr>
      </w:pPr>
      <w:r>
        <w:rPr>
          <w:rFonts w:ascii="Times New Roman" w:hAnsi="Times New Roman"/>
          <w:sz w:val="28"/>
          <w:szCs w:val="28"/>
        </w:rPr>
        <w:t xml:space="preserve">С 2022 года Минтранс поэтапно начал переходить на новую </w:t>
      </w:r>
      <w:r>
        <w:rPr>
          <w:rFonts w:ascii="Times New Roman" w:hAnsi="Times New Roman"/>
          <w:sz w:val="28"/>
          <w:szCs w:val="28"/>
        </w:rPr>
        <w:t>модель взаимодействия с перевозчиками с заключением государственных брутто-контрактов на осуществление регулярных перевозок пассажиров и багажа автомобильным транспортом по регулируемым тарифам. В рамках реализации мероприятий данной подпрограммы в 2022 го</w:t>
      </w:r>
      <w:r>
        <w:rPr>
          <w:rFonts w:ascii="Times New Roman" w:hAnsi="Times New Roman"/>
          <w:sz w:val="28"/>
          <w:szCs w:val="28"/>
        </w:rPr>
        <w:t>ду предоставлена государственная поддержка организациям, осуществляющих деятельность в сфере воздушных межмуниципальных перевозок населения на территории Камчатского края в сумме 940,934 млн рублей, что позволило в 2022 году перевезти 58 600 человек по суб</w:t>
      </w:r>
      <w:r>
        <w:rPr>
          <w:rFonts w:ascii="Times New Roman" w:hAnsi="Times New Roman"/>
          <w:sz w:val="28"/>
          <w:szCs w:val="28"/>
        </w:rPr>
        <w:t>сидируемым маршрутам. Международный аэропорт Петропавловск-Камчатский (Елизово) обслужил 856 000 пассажиров.</w:t>
      </w:r>
    </w:p>
    <w:p w:rsidR="00583DA6" w:rsidRDefault="006A45D9">
      <w:pPr>
        <w:ind w:firstLine="709"/>
        <w:jc w:val="both"/>
        <w:rPr>
          <w:rFonts w:ascii="Times New Roman" w:hAnsi="Times New Roman"/>
          <w:sz w:val="28"/>
          <w:szCs w:val="28"/>
        </w:rPr>
      </w:pPr>
      <w:r>
        <w:rPr>
          <w:rFonts w:ascii="Times New Roman" w:hAnsi="Times New Roman"/>
          <w:sz w:val="28"/>
          <w:szCs w:val="28"/>
        </w:rPr>
        <w:t>Всего на 01.01.2023 года по результатам размещения государственного заказа в сфере дорожного хозяйства заключено 84 государственных контракта и 102</w:t>
      </w:r>
      <w:r>
        <w:rPr>
          <w:rFonts w:ascii="Times New Roman" w:hAnsi="Times New Roman"/>
          <w:sz w:val="28"/>
          <w:szCs w:val="28"/>
        </w:rPr>
        <w:t xml:space="preserve"> договора (только региональные). В том числе по основному мероприятию «Капитальный ремонт, ремонт, содержание автомобильных дорог общего пользования регионального и межмуниципального значения» – 63 государственных контракта и 46 договоров, по основному мер</w:t>
      </w:r>
      <w:r>
        <w:rPr>
          <w:rFonts w:ascii="Times New Roman" w:hAnsi="Times New Roman"/>
          <w:sz w:val="28"/>
          <w:szCs w:val="28"/>
        </w:rPr>
        <w:t>оприятию «Строительство и реконструкция автомобильных дорог регионального и межмуниципального значения» – 16 государственных контрактов и 53 договора, по основному мероприятию «Проектирование, строительство и реконструкция автомобильных дорог регионального</w:t>
      </w:r>
      <w:r>
        <w:rPr>
          <w:rFonts w:ascii="Times New Roman" w:hAnsi="Times New Roman"/>
          <w:sz w:val="28"/>
          <w:szCs w:val="28"/>
        </w:rPr>
        <w:t xml:space="preserve"> и межмуниципального значения» – 5 государственных контрактов и 3 договора. </w:t>
      </w:r>
    </w:p>
    <w:p w:rsidR="00583DA6" w:rsidRDefault="006A45D9">
      <w:pPr>
        <w:ind w:firstLine="709"/>
        <w:jc w:val="both"/>
        <w:rPr>
          <w:rFonts w:ascii="Times New Roman" w:hAnsi="Times New Roman"/>
          <w:sz w:val="28"/>
          <w:szCs w:val="28"/>
        </w:rPr>
      </w:pPr>
      <w:r>
        <w:rPr>
          <w:rFonts w:ascii="Times New Roman" w:hAnsi="Times New Roman"/>
          <w:sz w:val="28"/>
          <w:szCs w:val="28"/>
        </w:rPr>
        <w:t>В связи с неисполнением подрядчиком условий контракта, в части поставки в 4 квартале 2022 года 1 ед. грузопассажирской баржи грузоподъемностью 40 тонн в Морской порт Петропавловск</w:t>
      </w:r>
      <w:r>
        <w:rPr>
          <w:rFonts w:ascii="Times New Roman" w:hAnsi="Times New Roman"/>
          <w:sz w:val="28"/>
          <w:szCs w:val="28"/>
        </w:rPr>
        <w:t xml:space="preserve">-Камчатский по ГК от 01.12.2017 № 0138200001217000020_238775, Министерством транспорта и дорожного строительства Камчатского края направлена Претензия генеральному Директору ООО «Сибирцевский комбинат строительной индустрии». </w:t>
      </w:r>
    </w:p>
    <w:p w:rsidR="00583DA6" w:rsidRDefault="00583DA6">
      <w:pPr>
        <w:ind w:firstLine="709"/>
        <w:contextualSpacing/>
        <w:jc w:val="both"/>
        <w:rPr>
          <w:rFonts w:ascii="Times New Roman" w:eastAsia="Times New Roman" w:hAnsi="Times New Roman"/>
          <w:sz w:val="28"/>
          <w:szCs w:val="28"/>
          <w:lang w:eastAsia="ru-RU"/>
        </w:rPr>
      </w:pPr>
    </w:p>
    <w:p w:rsidR="00583DA6" w:rsidRDefault="006A45D9">
      <w:pPr>
        <w:pBdr>
          <w:top w:val="single" w:sz="18" w:space="1" w:color="000000"/>
        </w:pBdr>
        <w:ind w:firstLine="709"/>
        <w:jc w:val="both"/>
        <w:outlineLvl w:val="2"/>
        <w:rPr>
          <w:rFonts w:ascii="Times New Roman" w:eastAsia="Times New Roman" w:hAnsi="Times New Roman"/>
          <w:b/>
          <w:sz w:val="28"/>
          <w:szCs w:val="28"/>
          <w:lang w:eastAsia="ru-RU"/>
        </w:rPr>
      </w:pPr>
      <w:bookmarkStart w:id="18" w:name="_Toc132664207"/>
      <w:r>
        <w:rPr>
          <w:rFonts w:ascii="Times New Roman" w:eastAsia="Times New Roman" w:hAnsi="Times New Roman"/>
          <w:b/>
          <w:sz w:val="28"/>
          <w:szCs w:val="28"/>
          <w:lang w:eastAsia="ru-RU"/>
        </w:rPr>
        <w:t>Безопасность</w:t>
      </w:r>
      <w:bookmarkEnd w:id="18"/>
    </w:p>
    <w:p w:rsidR="00583DA6" w:rsidRDefault="00583DA6">
      <w:pPr>
        <w:pStyle w:val="affb"/>
        <w:ind w:firstLine="709"/>
        <w:jc w:val="both"/>
        <w:rPr>
          <w:sz w:val="28"/>
          <w:szCs w:val="28"/>
        </w:rPr>
      </w:pPr>
    </w:p>
    <w:p w:rsidR="00583DA6" w:rsidRDefault="006A45D9">
      <w:pPr>
        <w:pStyle w:val="affb"/>
        <w:ind w:firstLine="709"/>
        <w:jc w:val="both"/>
        <w:rPr>
          <w:sz w:val="28"/>
          <w:szCs w:val="28"/>
        </w:rPr>
      </w:pPr>
      <w:r>
        <w:rPr>
          <w:rFonts w:eastAsiaTheme="minorEastAsia"/>
          <w:sz w:val="28"/>
          <w:szCs w:val="28"/>
        </w:rPr>
        <w:t xml:space="preserve">План </w:t>
      </w:r>
      <w:r>
        <w:rPr>
          <w:rFonts w:eastAsiaTheme="minorEastAsia"/>
          <w:sz w:val="28"/>
          <w:szCs w:val="28"/>
        </w:rPr>
        <w:t>приведения в готовность гражданской обороны Камчатского края, План гражданской обороны и защиты населения Камчатского края в установленном порядке разработаны, согласованы и утверждены Губернатором Камчатского края. Уточнение и корректировка планов осущест</w:t>
      </w:r>
      <w:r>
        <w:rPr>
          <w:rFonts w:eastAsiaTheme="minorEastAsia"/>
          <w:sz w:val="28"/>
          <w:szCs w:val="28"/>
        </w:rPr>
        <w:t>вляется своевременно.</w:t>
      </w:r>
    </w:p>
    <w:p w:rsidR="00583DA6" w:rsidRDefault="006A45D9">
      <w:pPr>
        <w:tabs>
          <w:tab w:val="left" w:pos="567"/>
        </w:tabs>
        <w:ind w:firstLine="709"/>
        <w:jc w:val="both"/>
        <w:rPr>
          <w:rFonts w:ascii="Times New Roman" w:eastAsia="Times New Roman" w:hAnsi="Times New Roman"/>
          <w:sz w:val="28"/>
          <w:szCs w:val="28"/>
          <w:lang w:eastAsia="ru-RU"/>
        </w:rPr>
      </w:pPr>
      <w:r>
        <w:rPr>
          <w:rFonts w:ascii="Times New Roman" w:eastAsiaTheme="minorEastAsia" w:hAnsi="Times New Roman"/>
          <w:sz w:val="28"/>
          <w:szCs w:val="28"/>
          <w:lang w:eastAsia="ru-RU"/>
        </w:rPr>
        <w:t xml:space="preserve">В рамках государственной программы Камчатского края «Безопасная Камчатка» в муниципальных образованиях Камчатского края </w:t>
      </w:r>
      <w:r>
        <w:rPr>
          <w:rFonts w:ascii="Times New Roman" w:eastAsia="Times New Roman" w:hAnsi="Times New Roman"/>
          <w:sz w:val="28"/>
          <w:szCs w:val="28"/>
          <w:lang w:eastAsia="ru-RU"/>
        </w:rPr>
        <w:t>в 2022 году продолжено совершенствование материально-технической базы:</w:t>
      </w:r>
    </w:p>
    <w:p w:rsidR="00583DA6" w:rsidRDefault="006A45D9">
      <w:pPr>
        <w:tabs>
          <w:tab w:val="left" w:pos="567"/>
        </w:tabs>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Построен пожарный пост на базе сорокафутово</w:t>
      </w:r>
      <w:r>
        <w:rPr>
          <w:rFonts w:ascii="Times New Roman" w:eastAsia="Times New Roman" w:hAnsi="Times New Roman"/>
          <w:sz w:val="28"/>
          <w:szCs w:val="28"/>
          <w:lang w:eastAsia="ru-RU"/>
        </w:rPr>
        <w:t>го контейнера в с. Долиновка Мильковского муниципального района.</w:t>
      </w:r>
    </w:p>
    <w:p w:rsidR="00583DA6" w:rsidRDefault="006A45D9">
      <w:pPr>
        <w:tabs>
          <w:tab w:val="left" w:pos="567"/>
        </w:tabs>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Ведется строительство пожарного поста в с. Хайрюзово Тигильсткого муниципального района.</w:t>
      </w:r>
    </w:p>
    <w:p w:rsidR="00583DA6" w:rsidRDefault="006A45D9">
      <w:pPr>
        <w:tabs>
          <w:tab w:val="left" w:pos="567"/>
        </w:tabs>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Построен навес для хранения и защиты от атмосферных осадков имущества пожарного поста в п. Пионерский </w:t>
      </w:r>
      <w:r>
        <w:rPr>
          <w:rFonts w:ascii="Times New Roman" w:eastAsia="Times New Roman" w:hAnsi="Times New Roman"/>
          <w:sz w:val="28"/>
          <w:szCs w:val="28"/>
          <w:lang w:eastAsia="ru-RU"/>
        </w:rPr>
        <w:t>Елизовского муниципального района.</w:t>
      </w:r>
    </w:p>
    <w:p w:rsidR="00583DA6" w:rsidRDefault="006A45D9">
      <w:pPr>
        <w:ind w:firstLine="709"/>
        <w:contextualSpacing/>
        <w:jc w:val="both"/>
        <w:rPr>
          <w:rFonts w:ascii="Times New Roman" w:hAnsi="Times New Roman"/>
          <w:sz w:val="28"/>
          <w:szCs w:val="28"/>
        </w:rPr>
      </w:pPr>
      <w:r>
        <w:rPr>
          <w:rFonts w:ascii="Times New Roman" w:eastAsiaTheme="minorEastAsia" w:hAnsi="Times New Roman"/>
          <w:sz w:val="28"/>
          <w:szCs w:val="28"/>
        </w:rPr>
        <w:t>В 2022 г. в Камчатском крае произошло 3 чрезвычайных ситуации: две техногенного характера, связанные с крушением воздушных судов АН-2 (11.02.2022, ООО «Камчатский кречет» в районе залива села Северные Коряки) и Робинсон (</w:t>
      </w:r>
      <w:r>
        <w:rPr>
          <w:rFonts w:ascii="Times New Roman" w:eastAsiaTheme="minorEastAsia" w:hAnsi="Times New Roman"/>
          <w:sz w:val="28"/>
          <w:szCs w:val="28"/>
        </w:rPr>
        <w:t>16.07.2022, ООО «Взлет», следовавший по маршруту долина Узон Кроноцкого заповедника – село Мильково) и одна природного характера, вызванная подтоплением села Соболево (05.10.2022) (в 2021 году – 6 чрезвычайных ситуаций: 5 техногенных, 1 природная).</w:t>
      </w:r>
    </w:p>
    <w:p w:rsidR="00583DA6" w:rsidRDefault="006A45D9">
      <w:pPr>
        <w:pStyle w:val="affb"/>
        <w:ind w:firstLine="709"/>
        <w:jc w:val="both"/>
        <w:rPr>
          <w:sz w:val="28"/>
          <w:szCs w:val="28"/>
        </w:rPr>
      </w:pPr>
      <w:r>
        <w:rPr>
          <w:rFonts w:eastAsiaTheme="minorEastAsia"/>
          <w:sz w:val="28"/>
          <w:szCs w:val="28"/>
        </w:rPr>
        <w:t>При это</w:t>
      </w:r>
      <w:r>
        <w:rPr>
          <w:rFonts w:eastAsiaTheme="minorEastAsia"/>
          <w:sz w:val="28"/>
          <w:szCs w:val="28"/>
        </w:rPr>
        <w:t xml:space="preserve">м погибло 5 чел. (в 2021 году – 45), пострадало 428 чел. (в 2021 году – 187), спасено – нет (не было необходимости) (в 2021 году – 19), материальный ущерб, связанный с затратами на ликвидацию чрезвычайных ситуаций, составил 109 620 000 руб. (в 2021 году – </w:t>
      </w:r>
      <w:r>
        <w:rPr>
          <w:rFonts w:eastAsiaTheme="minorEastAsia"/>
          <w:sz w:val="28"/>
          <w:szCs w:val="28"/>
        </w:rPr>
        <w:t>115 667 359 руб.).</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Наиболее остро стоит вопрос при организации поисков в труднодоступной местности по северным территориям Камчатского края. Основной проблемой является отсутствие поисково-спасательных формирований в ближайших населенных пунктах, либо их з</w:t>
      </w:r>
      <w:r>
        <w:rPr>
          <w:rFonts w:ascii="Times New Roman" w:eastAsia="Times New Roman" w:hAnsi="Times New Roman"/>
          <w:sz w:val="28"/>
          <w:szCs w:val="28"/>
          <w:lang w:eastAsia="ru-RU"/>
        </w:rPr>
        <w:t xml:space="preserve">начительной удаленности от предполагаемого района поиска. </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Необходимо продолжить работу по созданию поисково-спасательных формирований в северных территориях края, оснащению их высоко проходимой техникой и оборудованием.</w:t>
      </w:r>
    </w:p>
    <w:p w:rsidR="00583DA6" w:rsidRDefault="006A45D9">
      <w:pPr>
        <w:tabs>
          <w:tab w:val="left" w:pos="0"/>
        </w:tabs>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Необходимо обратить особое внимание</w:t>
      </w:r>
      <w:r>
        <w:rPr>
          <w:rFonts w:ascii="Times New Roman" w:eastAsia="Times New Roman" w:hAnsi="Times New Roman"/>
          <w:sz w:val="28"/>
          <w:szCs w:val="28"/>
          <w:lang w:eastAsia="ru-RU"/>
        </w:rPr>
        <w:t xml:space="preserve"> на обучение населения мерам пожарной безопасности и пропаганды в области пожарной безопасности.</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Статистика происшествий показывает, что основная часть происшествий – это техногенные пожары, дорожно-транспортные происшествия, аварии на энергетических систе</w:t>
      </w:r>
      <w:r>
        <w:rPr>
          <w:rFonts w:ascii="Times New Roman" w:eastAsia="Times New Roman" w:hAnsi="Times New Roman"/>
          <w:sz w:val="28"/>
          <w:szCs w:val="28"/>
          <w:lang w:eastAsia="ru-RU"/>
        </w:rPr>
        <w:t xml:space="preserve">мах и объектах ЖКХ, пропажа людей в природной среде, а также сейсмособытия, пепловые выбросы и природные пожары. </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течение года сохранялся риск аварий на воздушном транспорте.</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Информационное взаимодействие между звеньями территориальной подсистемы РСЧС ор</w:t>
      </w:r>
      <w:r>
        <w:rPr>
          <w:rFonts w:ascii="Times New Roman" w:eastAsia="Times New Roman" w:hAnsi="Times New Roman"/>
          <w:sz w:val="28"/>
          <w:szCs w:val="28"/>
          <w:lang w:eastAsia="ru-RU"/>
        </w:rPr>
        <w:t>ганизовано.</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Однако оперативные дежурные ЕДДС муниципальных образований еще не в полной мере владеют необходимой информацией, что указывает на недостаточный уровень подготовки и обучения.</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Оповещение населения проводится не в полном объеме, не выполняются ко</w:t>
      </w:r>
      <w:r>
        <w:rPr>
          <w:rFonts w:ascii="Times New Roman" w:eastAsia="Times New Roman" w:hAnsi="Times New Roman"/>
          <w:sz w:val="28"/>
          <w:szCs w:val="28"/>
          <w:lang w:eastAsia="ru-RU"/>
        </w:rPr>
        <w:t>мплексы превентивных мероприятий.</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 итогам 2022 года наиболее низкие показатели по переводу в режим «Повышенной готовности» отмечаются в Елизовском (13 раз не ввели соответствующий режим), Усть-Камчатском (13 раз не ввели соответствующий режим) и Усть-Бол</w:t>
      </w:r>
      <w:r>
        <w:rPr>
          <w:rFonts w:ascii="Times New Roman" w:eastAsia="Times New Roman" w:hAnsi="Times New Roman"/>
          <w:sz w:val="28"/>
          <w:szCs w:val="28"/>
          <w:lang w:eastAsia="ru-RU"/>
        </w:rPr>
        <w:t>ьшерецком (11 раз не ввели соответствующий режим) звеньях Камчатской ТП РСЧС, наиболее высокие показатели по данному вопросу отмечаются в Быстринском и Соболевском звеньях КТП РСЧС.</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Оценивая состояние готовности пожарных и спасательных подразделений КГКУ «</w:t>
      </w:r>
      <w:r>
        <w:rPr>
          <w:rFonts w:ascii="Times New Roman" w:eastAsia="Times New Roman" w:hAnsi="Times New Roman"/>
          <w:sz w:val="28"/>
          <w:szCs w:val="28"/>
          <w:lang w:eastAsia="ru-RU"/>
        </w:rPr>
        <w:t>ЦОД» к действиям по предназначению, отмечаю, что в целом их боеспособность и показатели оперативного реагирования улучшены и повышены.</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связи с малочисленностью пожарных в подразделениях в отдельных отдаленных населенных пунктах не организовано </w:t>
      </w:r>
      <w:r>
        <w:rPr>
          <w:rFonts w:ascii="Times New Roman" w:eastAsia="Times New Roman" w:hAnsi="Times New Roman"/>
          <w:sz w:val="28"/>
          <w:szCs w:val="28"/>
          <w:lang w:eastAsia="ru-RU"/>
        </w:rPr>
        <w:t>круглосуточное дежурство, что влияет на среднее время ликвидации последствий пожаров.</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КГКУ «ЦОД» совместно с Камчатским краевым отделением ВДПО проводится совместная работа по привлечению добровольных пожарных для усиления малочисленных пожарных постов в с</w:t>
      </w:r>
      <w:r>
        <w:rPr>
          <w:rFonts w:ascii="Times New Roman" w:eastAsia="Times New Roman" w:hAnsi="Times New Roman"/>
          <w:sz w:val="28"/>
          <w:szCs w:val="28"/>
          <w:lang w:eastAsia="ru-RU"/>
        </w:rPr>
        <w:t>ельских поселениях.</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2022 году добровольные пожарные 24 раза принимали участие в тушении пожаров и загораний в качестве дополнительных сил.</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Случаев перехода природных пожаров на населенные пункты, дачные участки и объекты экономики в пожароопасный сезон 2</w:t>
      </w:r>
      <w:r>
        <w:rPr>
          <w:rFonts w:ascii="Times New Roman" w:eastAsia="Times New Roman" w:hAnsi="Times New Roman"/>
          <w:sz w:val="28"/>
          <w:szCs w:val="28"/>
          <w:lang w:eastAsia="ru-RU"/>
        </w:rPr>
        <w:t>022 года не допущено.</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лучшую сторону по реагированию на природные пожары отмечаются Пенжинский, Тигильский и Олюторский муниципальные районы.</w:t>
      </w:r>
    </w:p>
    <w:p w:rsidR="00583DA6" w:rsidRDefault="006A45D9">
      <w:pPr>
        <w:tabs>
          <w:tab w:val="left" w:pos="567"/>
        </w:tabs>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2023 году необходимо усилить меры по подготовке работающего и неработающего населения, активизировать </w:t>
      </w:r>
      <w:r>
        <w:rPr>
          <w:rFonts w:ascii="Times New Roman" w:eastAsia="Times New Roman" w:hAnsi="Times New Roman"/>
          <w:sz w:val="28"/>
          <w:szCs w:val="28"/>
          <w:lang w:eastAsia="ru-RU"/>
        </w:rPr>
        <w:t>адресно-справочную работу с населением по информированию о действиях при получении сигнала «ВНИМАНИЕ ВСЕМ!», о местах расположения ЗС, порядку проведения эвакуации, а также об обеспечении СИЗ (в том числе рекомендации по самостоятельному изготовлению прост</w:t>
      </w:r>
      <w:r>
        <w:rPr>
          <w:rFonts w:ascii="Times New Roman" w:eastAsia="Times New Roman" w:hAnsi="Times New Roman"/>
          <w:sz w:val="28"/>
          <w:szCs w:val="28"/>
          <w:lang w:eastAsia="ru-RU"/>
        </w:rPr>
        <w:t>ейших средств защиты органов дыхания).</w:t>
      </w:r>
    </w:p>
    <w:p w:rsidR="00583DA6" w:rsidRDefault="006A45D9">
      <w:pPr>
        <w:tabs>
          <w:tab w:val="left" w:pos="567"/>
        </w:tabs>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Вместе с тем имеется ряд проблемных вопросов:</w:t>
      </w:r>
    </w:p>
    <w:p w:rsidR="00583DA6" w:rsidRDefault="006A45D9">
      <w:pPr>
        <w:tabs>
          <w:tab w:val="left" w:pos="567"/>
        </w:tabs>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комплексы голосового оповещения выработали установленный ресурс, морально и физически устарели, не поддерживают современные форматы передачи данных, у них участились сл</w:t>
      </w:r>
      <w:r>
        <w:rPr>
          <w:rFonts w:ascii="Times New Roman" w:eastAsia="Times New Roman" w:hAnsi="Times New Roman"/>
          <w:sz w:val="28"/>
          <w:szCs w:val="28"/>
          <w:lang w:eastAsia="ru-RU"/>
        </w:rPr>
        <w:t>учаи выхода из строя составных частей и принадлежностей;</w:t>
      </w:r>
    </w:p>
    <w:p w:rsidR="00583DA6" w:rsidRDefault="006A45D9">
      <w:pPr>
        <w:tabs>
          <w:tab w:val="left" w:pos="567"/>
        </w:tabs>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недостаточная обученность диспетчеров ЕДДС муниципальных образований работе с аппаратно-программным комплексом П-166 ИТК ОС;</w:t>
      </w:r>
    </w:p>
    <w:p w:rsidR="00583DA6" w:rsidRDefault="006A45D9">
      <w:pPr>
        <w:tabs>
          <w:tab w:val="left" w:pos="567"/>
        </w:tabs>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 отсутствие местных автоматизированных систем централизованного опове</w:t>
      </w:r>
      <w:r>
        <w:rPr>
          <w:rFonts w:ascii="Times New Roman" w:eastAsia="Times New Roman" w:hAnsi="Times New Roman"/>
          <w:sz w:val="28"/>
          <w:szCs w:val="28"/>
          <w:lang w:eastAsia="ru-RU"/>
        </w:rPr>
        <w:t>щения населения в Вилючинском городском округе, городском округе п. Палана, в Соболевском и Карагинском муниципальных районах.</w:t>
      </w:r>
    </w:p>
    <w:p w:rsidR="00583DA6" w:rsidRDefault="006A45D9">
      <w:pPr>
        <w:ind w:firstLine="709"/>
        <w:jc w:val="both"/>
        <w:rPr>
          <w:rFonts w:ascii="Times New Roman" w:eastAsia="Times New Roman" w:hAnsi="Times New Roman"/>
          <w:i/>
          <w:sz w:val="28"/>
          <w:szCs w:val="28"/>
          <w:lang w:eastAsia="ru-RU"/>
        </w:rPr>
      </w:pPr>
      <w:r>
        <w:rPr>
          <w:rFonts w:ascii="Times New Roman" w:eastAsia="Times New Roman" w:hAnsi="Times New Roman"/>
          <w:sz w:val="28"/>
          <w:szCs w:val="28"/>
          <w:lang w:eastAsia="ru-RU"/>
        </w:rPr>
        <w:t>В рамках взаимодействия органов местного самоуправления с операторами связи, оказывающими услуги сотовой связи на соответствующей</w:t>
      </w:r>
      <w:r>
        <w:rPr>
          <w:rFonts w:ascii="Times New Roman" w:eastAsia="Times New Roman" w:hAnsi="Times New Roman"/>
          <w:sz w:val="28"/>
          <w:szCs w:val="28"/>
          <w:lang w:eastAsia="ru-RU"/>
        </w:rPr>
        <w:t xml:space="preserve"> территории, по передаче сигналов оповещения и (или) экстренной информации о возникающих опасностях лучшим образом организовано в муниципальных районах: Елизовский, Карагинский, Тигильский, Олюторский муниципальные районы, Вилючинский городской округ и гор</w:t>
      </w:r>
      <w:r>
        <w:rPr>
          <w:rFonts w:ascii="Times New Roman" w:eastAsia="Times New Roman" w:hAnsi="Times New Roman"/>
          <w:sz w:val="28"/>
          <w:szCs w:val="28"/>
          <w:lang w:eastAsia="ru-RU"/>
        </w:rPr>
        <w:t>одской округ поселок Палана.</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Важнейшим элементом в организации защиты населения является содержание и готовность защитных сооружений. </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настоящее время: готовы к приему укрываемых – 20,7%; ограниченно готовы – 9%; не готовы – 70,3%. Общая готовность соста</w:t>
      </w:r>
      <w:r>
        <w:rPr>
          <w:rFonts w:ascii="Times New Roman" w:eastAsia="Times New Roman" w:hAnsi="Times New Roman"/>
          <w:sz w:val="28"/>
          <w:szCs w:val="28"/>
          <w:lang w:eastAsia="ru-RU"/>
        </w:rPr>
        <w:t>вляет 29,7%.</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2022 году готовность повысилась на 8,3% по сравнению с предыдущим годом.</w:t>
      </w:r>
    </w:p>
    <w:p w:rsidR="00583DA6" w:rsidRDefault="006A45D9">
      <w:pPr>
        <w:widowControl w:val="0"/>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период с 01 января по 31 декабря 2022 года общее количество звонков по системе-112 составило 165 612. За аналогичный период 2021 года - 156793.</w:t>
      </w:r>
    </w:p>
    <w:tbl>
      <w:tblPr>
        <w:tblStyle w:val="2f1"/>
        <w:tblW w:w="9917" w:type="dxa"/>
        <w:jc w:val="center"/>
        <w:tblLayout w:type="fixed"/>
        <w:tblLook w:val="04A0" w:firstRow="1" w:lastRow="0" w:firstColumn="1" w:lastColumn="0" w:noHBand="0" w:noVBand="1"/>
      </w:tblPr>
      <w:tblGrid>
        <w:gridCol w:w="2831"/>
        <w:gridCol w:w="2268"/>
        <w:gridCol w:w="2268"/>
        <w:gridCol w:w="2550"/>
      </w:tblGrid>
      <w:tr w:rsidR="00583DA6">
        <w:trPr>
          <w:jc w:val="center"/>
        </w:trPr>
        <w:tc>
          <w:tcPr>
            <w:tcW w:w="2830" w:type="dxa"/>
            <w:vAlign w:val="center"/>
          </w:tcPr>
          <w:p w:rsidR="00583DA6" w:rsidRDefault="006A45D9">
            <w:pPr>
              <w:widowControl w:val="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Вызов по службам и кат</w:t>
            </w:r>
            <w:r>
              <w:rPr>
                <w:rFonts w:ascii="Times New Roman" w:eastAsia="Times New Roman" w:hAnsi="Times New Roman"/>
                <w:b/>
                <w:sz w:val="24"/>
                <w:szCs w:val="24"/>
                <w:lang w:eastAsia="ru-RU"/>
              </w:rPr>
              <w:t>егориям</w:t>
            </w:r>
          </w:p>
        </w:tc>
        <w:tc>
          <w:tcPr>
            <w:tcW w:w="2268" w:type="dxa"/>
            <w:vAlign w:val="center"/>
          </w:tcPr>
          <w:p w:rsidR="00583DA6" w:rsidRDefault="006A45D9">
            <w:pPr>
              <w:widowControl w:val="0"/>
              <w:jc w:val="center"/>
              <w:rPr>
                <w:rFonts w:ascii="Times New Roman" w:eastAsia="Times New Roman" w:hAnsi="Times New Roman"/>
                <w:b/>
                <w:sz w:val="24"/>
                <w:szCs w:val="24"/>
                <w:lang w:eastAsia="ru-RU"/>
              </w:rPr>
            </w:pPr>
            <w:r>
              <w:rPr>
                <w:rFonts w:ascii="Times New Roman" w:eastAsia="Times New Roman" w:hAnsi="Times New Roman"/>
                <w:b/>
                <w:sz w:val="24"/>
                <w:szCs w:val="24"/>
                <w:lang w:val="en-US" w:eastAsia="ru-RU"/>
              </w:rPr>
              <w:t>1</w:t>
            </w:r>
            <w:r>
              <w:rPr>
                <w:rFonts w:ascii="Times New Roman" w:eastAsia="Times New Roman" w:hAnsi="Times New Roman"/>
                <w:b/>
                <w:sz w:val="24"/>
                <w:szCs w:val="24"/>
                <w:lang w:eastAsia="ru-RU"/>
              </w:rPr>
              <w:t>2</w:t>
            </w:r>
            <w:r>
              <w:rPr>
                <w:rFonts w:ascii="Times New Roman" w:eastAsia="Times New Roman" w:hAnsi="Times New Roman"/>
                <w:b/>
                <w:sz w:val="24"/>
                <w:szCs w:val="24"/>
                <w:lang w:val="en-US" w:eastAsia="ru-RU"/>
              </w:rPr>
              <w:t xml:space="preserve"> </w:t>
            </w:r>
            <w:r>
              <w:rPr>
                <w:rFonts w:ascii="Times New Roman" w:eastAsia="Times New Roman" w:hAnsi="Times New Roman"/>
                <w:b/>
                <w:sz w:val="24"/>
                <w:szCs w:val="24"/>
                <w:lang w:eastAsia="ru-RU"/>
              </w:rPr>
              <w:t>месяцев 202</w:t>
            </w:r>
            <w:r>
              <w:rPr>
                <w:rFonts w:ascii="Times New Roman" w:eastAsia="Times New Roman" w:hAnsi="Times New Roman"/>
                <w:b/>
                <w:sz w:val="24"/>
                <w:szCs w:val="24"/>
                <w:lang w:val="en-US" w:eastAsia="ru-RU"/>
              </w:rPr>
              <w:t>1</w:t>
            </w:r>
          </w:p>
        </w:tc>
        <w:tc>
          <w:tcPr>
            <w:tcW w:w="2268" w:type="dxa"/>
            <w:vAlign w:val="center"/>
          </w:tcPr>
          <w:p w:rsidR="00583DA6" w:rsidRDefault="006A45D9">
            <w:pPr>
              <w:widowControl w:val="0"/>
              <w:jc w:val="center"/>
              <w:rPr>
                <w:rFonts w:ascii="Times New Roman" w:eastAsia="Times New Roman" w:hAnsi="Times New Roman"/>
                <w:b/>
                <w:sz w:val="24"/>
                <w:szCs w:val="24"/>
                <w:lang w:val="en-US" w:eastAsia="ru-RU"/>
              </w:rPr>
            </w:pPr>
            <w:r>
              <w:rPr>
                <w:rFonts w:ascii="Times New Roman" w:eastAsia="Times New Roman" w:hAnsi="Times New Roman"/>
                <w:b/>
                <w:sz w:val="24"/>
                <w:szCs w:val="24"/>
                <w:lang w:val="en-US" w:eastAsia="ru-RU"/>
              </w:rPr>
              <w:t>1</w:t>
            </w:r>
            <w:r>
              <w:rPr>
                <w:rFonts w:ascii="Times New Roman" w:eastAsia="Times New Roman" w:hAnsi="Times New Roman"/>
                <w:b/>
                <w:sz w:val="24"/>
                <w:szCs w:val="24"/>
                <w:lang w:eastAsia="ru-RU"/>
              </w:rPr>
              <w:t>2</w:t>
            </w:r>
            <w:r>
              <w:rPr>
                <w:rFonts w:ascii="Times New Roman" w:eastAsia="Times New Roman" w:hAnsi="Times New Roman"/>
                <w:b/>
                <w:sz w:val="24"/>
                <w:szCs w:val="24"/>
                <w:lang w:val="en-US" w:eastAsia="ru-RU"/>
              </w:rPr>
              <w:t xml:space="preserve"> </w:t>
            </w:r>
            <w:r>
              <w:rPr>
                <w:rFonts w:ascii="Times New Roman" w:eastAsia="Times New Roman" w:hAnsi="Times New Roman"/>
                <w:b/>
                <w:sz w:val="24"/>
                <w:szCs w:val="24"/>
                <w:lang w:eastAsia="ru-RU"/>
              </w:rPr>
              <w:t>месяцев 202</w:t>
            </w:r>
            <w:r>
              <w:rPr>
                <w:rFonts w:ascii="Times New Roman" w:eastAsia="Times New Roman" w:hAnsi="Times New Roman"/>
                <w:b/>
                <w:sz w:val="24"/>
                <w:szCs w:val="24"/>
                <w:lang w:val="en-US" w:eastAsia="ru-RU"/>
              </w:rPr>
              <w:t>2</w:t>
            </w:r>
          </w:p>
        </w:tc>
        <w:tc>
          <w:tcPr>
            <w:tcW w:w="2550" w:type="dxa"/>
            <w:vAlign w:val="center"/>
          </w:tcPr>
          <w:p w:rsidR="00583DA6" w:rsidRDefault="006A45D9">
            <w:pPr>
              <w:widowControl w:val="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Динамика (+,- %)</w:t>
            </w:r>
          </w:p>
        </w:tc>
      </w:tr>
      <w:tr w:rsidR="00583DA6">
        <w:trPr>
          <w:jc w:val="center"/>
        </w:trPr>
        <w:tc>
          <w:tcPr>
            <w:tcW w:w="2830" w:type="dxa"/>
          </w:tcPr>
          <w:p w:rsidR="00583DA6" w:rsidRDefault="006A45D9">
            <w:pPr>
              <w:widowControl w:val="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ДДС-01</w:t>
            </w:r>
          </w:p>
        </w:tc>
        <w:tc>
          <w:tcPr>
            <w:tcW w:w="2268" w:type="dxa"/>
          </w:tcPr>
          <w:p w:rsidR="00583DA6" w:rsidRDefault="006A45D9">
            <w:pPr>
              <w:widowControl w:val="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1814</w:t>
            </w:r>
          </w:p>
        </w:tc>
        <w:tc>
          <w:tcPr>
            <w:tcW w:w="2268" w:type="dxa"/>
            <w:vAlign w:val="center"/>
          </w:tcPr>
          <w:p w:rsidR="00583DA6" w:rsidRDefault="006A45D9">
            <w:pPr>
              <w:widowControl w:val="0"/>
              <w:jc w:val="center"/>
              <w:rPr>
                <w:rFonts w:ascii="Times New Roman" w:eastAsia="Times New Roman" w:hAnsi="Times New Roman"/>
                <w:bCs/>
                <w:sz w:val="24"/>
                <w:szCs w:val="24"/>
                <w:lang w:val="en-US" w:eastAsia="ru-RU"/>
              </w:rPr>
            </w:pPr>
            <w:r>
              <w:rPr>
                <w:rFonts w:ascii="Times New Roman" w:eastAsia="Times New Roman" w:hAnsi="Times New Roman"/>
                <w:bCs/>
                <w:sz w:val="24"/>
                <w:szCs w:val="24"/>
                <w:lang w:eastAsia="ru-RU"/>
              </w:rPr>
              <w:t>17</w:t>
            </w:r>
            <w:r>
              <w:rPr>
                <w:rFonts w:ascii="Times New Roman" w:eastAsia="Times New Roman" w:hAnsi="Times New Roman"/>
                <w:bCs/>
                <w:sz w:val="24"/>
                <w:szCs w:val="24"/>
                <w:lang w:val="en-US" w:eastAsia="ru-RU"/>
              </w:rPr>
              <w:t>74</w:t>
            </w:r>
          </w:p>
        </w:tc>
        <w:tc>
          <w:tcPr>
            <w:tcW w:w="2550" w:type="dxa"/>
          </w:tcPr>
          <w:p w:rsidR="00583DA6" w:rsidRDefault="006A45D9">
            <w:pPr>
              <w:widowControl w:val="0"/>
              <w:jc w:val="center"/>
              <w:rPr>
                <w:rFonts w:ascii="Times New Roman" w:eastAsia="Times New Roman" w:hAnsi="Times New Roman"/>
                <w:bCs/>
                <w:sz w:val="24"/>
                <w:szCs w:val="24"/>
                <w:lang w:eastAsia="ru-RU"/>
              </w:rPr>
            </w:pPr>
            <w:r>
              <w:rPr>
                <w:rFonts w:ascii="Times New Roman" w:eastAsia="Times New Roman" w:hAnsi="Times New Roman"/>
                <w:bCs/>
                <w:sz w:val="24"/>
                <w:szCs w:val="24"/>
                <w:lang w:val="en-US" w:eastAsia="ru-RU"/>
              </w:rPr>
              <w:t>- 2</w:t>
            </w:r>
            <w:r>
              <w:rPr>
                <w:rFonts w:ascii="Times New Roman" w:eastAsia="Times New Roman" w:hAnsi="Times New Roman"/>
                <w:bCs/>
                <w:sz w:val="24"/>
                <w:szCs w:val="24"/>
                <w:lang w:eastAsia="ru-RU"/>
              </w:rPr>
              <w:t>,2%</w:t>
            </w:r>
          </w:p>
        </w:tc>
      </w:tr>
      <w:tr w:rsidR="00583DA6">
        <w:trPr>
          <w:jc w:val="center"/>
        </w:trPr>
        <w:tc>
          <w:tcPr>
            <w:tcW w:w="2830" w:type="dxa"/>
          </w:tcPr>
          <w:p w:rsidR="00583DA6" w:rsidRDefault="006A45D9">
            <w:pPr>
              <w:widowControl w:val="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ДДС-02</w:t>
            </w:r>
          </w:p>
        </w:tc>
        <w:tc>
          <w:tcPr>
            <w:tcW w:w="2268" w:type="dxa"/>
          </w:tcPr>
          <w:p w:rsidR="00583DA6" w:rsidRDefault="006A45D9">
            <w:pPr>
              <w:widowControl w:val="0"/>
              <w:jc w:val="center"/>
              <w:rPr>
                <w:rFonts w:ascii="Times New Roman" w:eastAsia="Times New Roman" w:hAnsi="Times New Roman"/>
                <w:bCs/>
                <w:sz w:val="24"/>
                <w:szCs w:val="24"/>
                <w:lang w:val="en-US" w:eastAsia="ru-RU"/>
              </w:rPr>
            </w:pPr>
            <w:r>
              <w:rPr>
                <w:rFonts w:ascii="Times New Roman" w:eastAsia="Times New Roman" w:hAnsi="Times New Roman"/>
                <w:bCs/>
                <w:sz w:val="24"/>
                <w:szCs w:val="24"/>
                <w:lang w:eastAsia="ru-RU"/>
              </w:rPr>
              <w:t>14641</w:t>
            </w:r>
          </w:p>
        </w:tc>
        <w:tc>
          <w:tcPr>
            <w:tcW w:w="2268" w:type="dxa"/>
            <w:vAlign w:val="center"/>
          </w:tcPr>
          <w:p w:rsidR="00583DA6" w:rsidRDefault="006A45D9">
            <w:pPr>
              <w:widowControl w:val="0"/>
              <w:jc w:val="center"/>
              <w:rPr>
                <w:rFonts w:ascii="Times New Roman" w:eastAsia="Times New Roman" w:hAnsi="Times New Roman"/>
                <w:bCs/>
                <w:sz w:val="24"/>
                <w:szCs w:val="24"/>
                <w:lang w:val="en-US" w:eastAsia="ru-RU"/>
              </w:rPr>
            </w:pPr>
            <w:r>
              <w:rPr>
                <w:rFonts w:ascii="Times New Roman" w:eastAsia="Times New Roman" w:hAnsi="Times New Roman"/>
                <w:bCs/>
                <w:sz w:val="24"/>
                <w:szCs w:val="24"/>
                <w:lang w:val="en-US" w:eastAsia="ru-RU"/>
              </w:rPr>
              <w:t>16044</w:t>
            </w:r>
          </w:p>
        </w:tc>
        <w:tc>
          <w:tcPr>
            <w:tcW w:w="2550" w:type="dxa"/>
          </w:tcPr>
          <w:p w:rsidR="00583DA6" w:rsidRDefault="006A45D9">
            <w:pPr>
              <w:widowControl w:val="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+8,8%</w:t>
            </w:r>
          </w:p>
        </w:tc>
      </w:tr>
      <w:tr w:rsidR="00583DA6">
        <w:trPr>
          <w:jc w:val="center"/>
        </w:trPr>
        <w:tc>
          <w:tcPr>
            <w:tcW w:w="2830" w:type="dxa"/>
          </w:tcPr>
          <w:p w:rsidR="00583DA6" w:rsidRDefault="006A45D9">
            <w:pPr>
              <w:widowControl w:val="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ДДС-03</w:t>
            </w:r>
          </w:p>
        </w:tc>
        <w:tc>
          <w:tcPr>
            <w:tcW w:w="2268" w:type="dxa"/>
          </w:tcPr>
          <w:p w:rsidR="00583DA6" w:rsidRDefault="006A45D9">
            <w:pPr>
              <w:widowControl w:val="0"/>
              <w:jc w:val="center"/>
              <w:rPr>
                <w:rFonts w:ascii="Times New Roman" w:eastAsia="Times New Roman" w:hAnsi="Times New Roman"/>
                <w:bCs/>
                <w:sz w:val="24"/>
                <w:szCs w:val="24"/>
                <w:lang w:val="en-US" w:eastAsia="ru-RU"/>
              </w:rPr>
            </w:pPr>
            <w:r>
              <w:rPr>
                <w:rFonts w:ascii="Times New Roman" w:eastAsia="Times New Roman" w:hAnsi="Times New Roman"/>
                <w:bCs/>
                <w:sz w:val="24"/>
                <w:szCs w:val="24"/>
                <w:lang w:eastAsia="ru-RU"/>
              </w:rPr>
              <w:t>25879</w:t>
            </w:r>
          </w:p>
        </w:tc>
        <w:tc>
          <w:tcPr>
            <w:tcW w:w="2268" w:type="dxa"/>
            <w:vAlign w:val="center"/>
          </w:tcPr>
          <w:p w:rsidR="00583DA6" w:rsidRDefault="006A45D9">
            <w:pPr>
              <w:widowControl w:val="0"/>
              <w:jc w:val="center"/>
              <w:rPr>
                <w:rFonts w:ascii="Times New Roman" w:eastAsia="Times New Roman" w:hAnsi="Times New Roman"/>
                <w:bCs/>
                <w:sz w:val="24"/>
                <w:szCs w:val="24"/>
                <w:lang w:val="en-US" w:eastAsia="ru-RU"/>
              </w:rPr>
            </w:pPr>
            <w:r>
              <w:rPr>
                <w:rFonts w:ascii="Times New Roman" w:eastAsia="Times New Roman" w:hAnsi="Times New Roman"/>
                <w:bCs/>
                <w:sz w:val="24"/>
                <w:szCs w:val="24"/>
                <w:lang w:val="en-US" w:eastAsia="ru-RU"/>
              </w:rPr>
              <w:t>27343</w:t>
            </w:r>
          </w:p>
        </w:tc>
        <w:tc>
          <w:tcPr>
            <w:tcW w:w="2550" w:type="dxa"/>
          </w:tcPr>
          <w:p w:rsidR="00583DA6" w:rsidRDefault="006A45D9">
            <w:pPr>
              <w:widowControl w:val="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+5,4%</w:t>
            </w:r>
          </w:p>
        </w:tc>
      </w:tr>
      <w:tr w:rsidR="00583DA6">
        <w:trPr>
          <w:jc w:val="center"/>
        </w:trPr>
        <w:tc>
          <w:tcPr>
            <w:tcW w:w="2830" w:type="dxa"/>
          </w:tcPr>
          <w:p w:rsidR="00583DA6" w:rsidRDefault="006A45D9">
            <w:pPr>
              <w:widowControl w:val="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ДДС-04</w:t>
            </w:r>
          </w:p>
        </w:tc>
        <w:tc>
          <w:tcPr>
            <w:tcW w:w="2268" w:type="dxa"/>
          </w:tcPr>
          <w:p w:rsidR="00583DA6" w:rsidRDefault="006A45D9">
            <w:pPr>
              <w:widowControl w:val="0"/>
              <w:jc w:val="center"/>
              <w:rPr>
                <w:rFonts w:ascii="Times New Roman" w:eastAsia="Times New Roman" w:hAnsi="Times New Roman"/>
                <w:bCs/>
                <w:sz w:val="24"/>
                <w:szCs w:val="24"/>
                <w:lang w:val="en-US" w:eastAsia="ru-RU"/>
              </w:rPr>
            </w:pPr>
            <w:r>
              <w:rPr>
                <w:rFonts w:ascii="Times New Roman" w:eastAsia="Times New Roman" w:hAnsi="Times New Roman"/>
                <w:bCs/>
                <w:sz w:val="24"/>
                <w:szCs w:val="24"/>
                <w:lang w:eastAsia="ru-RU"/>
              </w:rPr>
              <w:t>2</w:t>
            </w:r>
          </w:p>
        </w:tc>
        <w:tc>
          <w:tcPr>
            <w:tcW w:w="2268" w:type="dxa"/>
            <w:vAlign w:val="center"/>
          </w:tcPr>
          <w:p w:rsidR="00583DA6" w:rsidRDefault="006A45D9">
            <w:pPr>
              <w:widowControl w:val="0"/>
              <w:jc w:val="center"/>
              <w:rPr>
                <w:rFonts w:ascii="Times New Roman" w:eastAsia="Times New Roman" w:hAnsi="Times New Roman"/>
                <w:bCs/>
                <w:sz w:val="24"/>
                <w:szCs w:val="24"/>
                <w:lang w:val="en-US" w:eastAsia="ru-RU"/>
              </w:rPr>
            </w:pPr>
            <w:r>
              <w:rPr>
                <w:rFonts w:ascii="Times New Roman" w:eastAsia="Times New Roman" w:hAnsi="Times New Roman"/>
                <w:bCs/>
                <w:sz w:val="24"/>
                <w:szCs w:val="24"/>
                <w:lang w:val="en-US" w:eastAsia="ru-RU"/>
              </w:rPr>
              <w:t>3</w:t>
            </w:r>
          </w:p>
        </w:tc>
        <w:tc>
          <w:tcPr>
            <w:tcW w:w="2550" w:type="dxa"/>
          </w:tcPr>
          <w:p w:rsidR="00583DA6" w:rsidRDefault="006A45D9">
            <w:pPr>
              <w:widowControl w:val="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+43,3%</w:t>
            </w:r>
          </w:p>
        </w:tc>
      </w:tr>
      <w:tr w:rsidR="00583DA6">
        <w:trPr>
          <w:jc w:val="center"/>
        </w:trPr>
        <w:tc>
          <w:tcPr>
            <w:tcW w:w="2830" w:type="dxa"/>
          </w:tcPr>
          <w:p w:rsidR="00583DA6" w:rsidRDefault="006A45D9">
            <w:pPr>
              <w:widowControl w:val="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Антитеррор</w:t>
            </w:r>
          </w:p>
        </w:tc>
        <w:tc>
          <w:tcPr>
            <w:tcW w:w="2268" w:type="dxa"/>
          </w:tcPr>
          <w:p w:rsidR="00583DA6" w:rsidRDefault="006A45D9">
            <w:pPr>
              <w:widowControl w:val="0"/>
              <w:jc w:val="center"/>
              <w:rPr>
                <w:rFonts w:ascii="Times New Roman" w:eastAsia="Times New Roman" w:hAnsi="Times New Roman"/>
                <w:bCs/>
                <w:sz w:val="24"/>
                <w:szCs w:val="24"/>
                <w:lang w:val="en-US" w:eastAsia="ru-RU"/>
              </w:rPr>
            </w:pPr>
            <w:r>
              <w:rPr>
                <w:rFonts w:ascii="Times New Roman" w:eastAsia="Times New Roman" w:hAnsi="Times New Roman"/>
                <w:bCs/>
                <w:sz w:val="24"/>
                <w:szCs w:val="24"/>
                <w:lang w:eastAsia="ru-RU"/>
              </w:rPr>
              <w:t>4</w:t>
            </w:r>
          </w:p>
        </w:tc>
        <w:tc>
          <w:tcPr>
            <w:tcW w:w="2268" w:type="dxa"/>
            <w:vAlign w:val="center"/>
          </w:tcPr>
          <w:p w:rsidR="00583DA6" w:rsidRDefault="006A45D9">
            <w:pPr>
              <w:widowControl w:val="0"/>
              <w:jc w:val="center"/>
              <w:rPr>
                <w:rFonts w:ascii="Times New Roman" w:eastAsia="Times New Roman" w:hAnsi="Times New Roman"/>
                <w:bCs/>
                <w:sz w:val="24"/>
                <w:szCs w:val="24"/>
                <w:lang w:val="en-US" w:eastAsia="ru-RU"/>
              </w:rPr>
            </w:pPr>
            <w:r>
              <w:rPr>
                <w:rFonts w:ascii="Times New Roman" w:eastAsia="Times New Roman" w:hAnsi="Times New Roman"/>
                <w:bCs/>
                <w:sz w:val="24"/>
                <w:szCs w:val="24"/>
                <w:lang w:val="en-US" w:eastAsia="ru-RU"/>
              </w:rPr>
              <w:t>172</w:t>
            </w:r>
          </w:p>
        </w:tc>
        <w:tc>
          <w:tcPr>
            <w:tcW w:w="2550" w:type="dxa"/>
          </w:tcPr>
          <w:p w:rsidR="00583DA6" w:rsidRDefault="006A45D9">
            <w:pPr>
              <w:widowControl w:val="0"/>
              <w:jc w:val="center"/>
              <w:rPr>
                <w:rFonts w:ascii="Times New Roman" w:eastAsia="Times New Roman" w:hAnsi="Times New Roman"/>
                <w:bCs/>
                <w:sz w:val="24"/>
                <w:szCs w:val="24"/>
                <w:lang w:val="en-US" w:eastAsia="ru-RU"/>
              </w:rPr>
            </w:pPr>
            <w:r>
              <w:rPr>
                <w:rFonts w:ascii="Times New Roman" w:eastAsia="Times New Roman" w:hAnsi="Times New Roman"/>
                <w:bCs/>
                <w:sz w:val="24"/>
                <w:szCs w:val="24"/>
                <w:lang w:eastAsia="ru-RU"/>
              </w:rPr>
              <w:t>+97,7</w:t>
            </w:r>
            <w:r>
              <w:rPr>
                <w:rFonts w:ascii="Times New Roman" w:eastAsia="Times New Roman" w:hAnsi="Times New Roman"/>
                <w:bCs/>
                <w:sz w:val="24"/>
                <w:szCs w:val="24"/>
                <w:lang w:val="en-US" w:eastAsia="ru-RU"/>
              </w:rPr>
              <w:t>%</w:t>
            </w:r>
          </w:p>
        </w:tc>
      </w:tr>
      <w:tr w:rsidR="00583DA6">
        <w:trPr>
          <w:jc w:val="center"/>
        </w:trPr>
        <w:tc>
          <w:tcPr>
            <w:tcW w:w="2830" w:type="dxa"/>
          </w:tcPr>
          <w:p w:rsidR="00583DA6" w:rsidRDefault="006A45D9">
            <w:pPr>
              <w:widowControl w:val="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ЦУКС МЧС России</w:t>
            </w:r>
          </w:p>
        </w:tc>
        <w:tc>
          <w:tcPr>
            <w:tcW w:w="2268" w:type="dxa"/>
          </w:tcPr>
          <w:p w:rsidR="00583DA6" w:rsidRDefault="006A45D9">
            <w:pPr>
              <w:widowControl w:val="0"/>
              <w:jc w:val="center"/>
              <w:rPr>
                <w:rFonts w:ascii="Times New Roman" w:eastAsia="Times New Roman" w:hAnsi="Times New Roman"/>
                <w:bCs/>
                <w:sz w:val="24"/>
                <w:szCs w:val="24"/>
                <w:lang w:val="en-US" w:eastAsia="ru-RU"/>
              </w:rPr>
            </w:pPr>
            <w:r>
              <w:rPr>
                <w:rFonts w:ascii="Times New Roman" w:eastAsia="Times New Roman" w:hAnsi="Times New Roman"/>
                <w:bCs/>
                <w:sz w:val="24"/>
                <w:szCs w:val="24"/>
                <w:lang w:eastAsia="ru-RU"/>
              </w:rPr>
              <w:t>976</w:t>
            </w:r>
          </w:p>
        </w:tc>
        <w:tc>
          <w:tcPr>
            <w:tcW w:w="2268" w:type="dxa"/>
            <w:vAlign w:val="center"/>
          </w:tcPr>
          <w:p w:rsidR="00583DA6" w:rsidRDefault="006A45D9">
            <w:pPr>
              <w:widowControl w:val="0"/>
              <w:jc w:val="center"/>
              <w:rPr>
                <w:rFonts w:ascii="Times New Roman" w:eastAsia="Times New Roman" w:hAnsi="Times New Roman"/>
                <w:bCs/>
                <w:sz w:val="24"/>
                <w:szCs w:val="24"/>
                <w:lang w:val="en-US" w:eastAsia="ru-RU"/>
              </w:rPr>
            </w:pPr>
            <w:r>
              <w:rPr>
                <w:rFonts w:ascii="Times New Roman" w:eastAsia="Times New Roman" w:hAnsi="Times New Roman"/>
                <w:bCs/>
                <w:sz w:val="24"/>
                <w:szCs w:val="24"/>
                <w:lang w:val="en-US" w:eastAsia="ru-RU"/>
              </w:rPr>
              <w:t>2111</w:t>
            </w:r>
          </w:p>
        </w:tc>
        <w:tc>
          <w:tcPr>
            <w:tcW w:w="2550" w:type="dxa"/>
          </w:tcPr>
          <w:p w:rsidR="00583DA6" w:rsidRDefault="006A45D9">
            <w:pPr>
              <w:widowControl w:val="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+53,8%</w:t>
            </w:r>
          </w:p>
        </w:tc>
      </w:tr>
      <w:tr w:rsidR="00583DA6">
        <w:trPr>
          <w:jc w:val="center"/>
        </w:trPr>
        <w:tc>
          <w:tcPr>
            <w:tcW w:w="2830" w:type="dxa"/>
          </w:tcPr>
          <w:p w:rsidR="00583DA6" w:rsidRDefault="006A45D9">
            <w:pPr>
              <w:widowControl w:val="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ЕДДС </w:t>
            </w:r>
          </w:p>
        </w:tc>
        <w:tc>
          <w:tcPr>
            <w:tcW w:w="2268" w:type="dxa"/>
          </w:tcPr>
          <w:p w:rsidR="00583DA6" w:rsidRDefault="006A45D9">
            <w:pPr>
              <w:widowControl w:val="0"/>
              <w:jc w:val="center"/>
              <w:rPr>
                <w:rFonts w:ascii="Times New Roman" w:eastAsia="Times New Roman" w:hAnsi="Times New Roman"/>
                <w:bCs/>
                <w:sz w:val="24"/>
                <w:szCs w:val="24"/>
                <w:lang w:val="en-US" w:eastAsia="ru-RU"/>
              </w:rPr>
            </w:pPr>
            <w:r>
              <w:rPr>
                <w:rFonts w:ascii="Times New Roman" w:eastAsia="Times New Roman" w:hAnsi="Times New Roman"/>
                <w:bCs/>
                <w:sz w:val="24"/>
                <w:szCs w:val="24"/>
                <w:lang w:eastAsia="ru-RU"/>
              </w:rPr>
              <w:t>746</w:t>
            </w:r>
          </w:p>
        </w:tc>
        <w:tc>
          <w:tcPr>
            <w:tcW w:w="2268" w:type="dxa"/>
            <w:vAlign w:val="center"/>
          </w:tcPr>
          <w:p w:rsidR="00583DA6" w:rsidRDefault="006A45D9">
            <w:pPr>
              <w:widowControl w:val="0"/>
              <w:jc w:val="center"/>
              <w:rPr>
                <w:rFonts w:ascii="Times New Roman" w:eastAsia="Times New Roman" w:hAnsi="Times New Roman"/>
                <w:bCs/>
                <w:sz w:val="24"/>
                <w:szCs w:val="24"/>
                <w:lang w:val="en-US" w:eastAsia="ru-RU"/>
              </w:rPr>
            </w:pPr>
            <w:r>
              <w:rPr>
                <w:rFonts w:ascii="Times New Roman" w:eastAsia="Times New Roman" w:hAnsi="Times New Roman"/>
                <w:bCs/>
                <w:sz w:val="24"/>
                <w:szCs w:val="24"/>
                <w:lang w:val="en-US" w:eastAsia="ru-RU"/>
              </w:rPr>
              <w:t>2290</w:t>
            </w:r>
          </w:p>
        </w:tc>
        <w:tc>
          <w:tcPr>
            <w:tcW w:w="2550" w:type="dxa"/>
          </w:tcPr>
          <w:p w:rsidR="00583DA6" w:rsidRDefault="006A45D9">
            <w:pPr>
              <w:widowControl w:val="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+67,4%</w:t>
            </w:r>
          </w:p>
        </w:tc>
      </w:tr>
      <w:tr w:rsidR="00583DA6">
        <w:trPr>
          <w:jc w:val="center"/>
        </w:trPr>
        <w:tc>
          <w:tcPr>
            <w:tcW w:w="2830" w:type="dxa"/>
          </w:tcPr>
          <w:p w:rsidR="00583DA6" w:rsidRDefault="006A45D9">
            <w:pPr>
              <w:widowControl w:val="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ЖКХ</w:t>
            </w:r>
          </w:p>
        </w:tc>
        <w:tc>
          <w:tcPr>
            <w:tcW w:w="2268" w:type="dxa"/>
          </w:tcPr>
          <w:p w:rsidR="00583DA6" w:rsidRDefault="006A45D9">
            <w:pPr>
              <w:widowControl w:val="0"/>
              <w:jc w:val="center"/>
              <w:rPr>
                <w:rFonts w:ascii="Times New Roman" w:eastAsia="Times New Roman" w:hAnsi="Times New Roman"/>
                <w:bCs/>
                <w:sz w:val="24"/>
                <w:szCs w:val="24"/>
                <w:lang w:val="en-US" w:eastAsia="ru-RU"/>
              </w:rPr>
            </w:pPr>
            <w:r>
              <w:rPr>
                <w:rFonts w:ascii="Times New Roman" w:eastAsia="Times New Roman" w:hAnsi="Times New Roman"/>
                <w:bCs/>
                <w:sz w:val="24"/>
                <w:szCs w:val="24"/>
                <w:lang w:eastAsia="ru-RU"/>
              </w:rPr>
              <w:t>23</w:t>
            </w:r>
          </w:p>
        </w:tc>
        <w:tc>
          <w:tcPr>
            <w:tcW w:w="2268" w:type="dxa"/>
            <w:vAlign w:val="center"/>
          </w:tcPr>
          <w:p w:rsidR="00583DA6" w:rsidRDefault="006A45D9">
            <w:pPr>
              <w:widowControl w:val="0"/>
              <w:jc w:val="center"/>
              <w:rPr>
                <w:rFonts w:ascii="Times New Roman" w:eastAsia="Times New Roman" w:hAnsi="Times New Roman"/>
                <w:bCs/>
                <w:sz w:val="24"/>
                <w:szCs w:val="24"/>
                <w:lang w:val="en-US" w:eastAsia="ru-RU"/>
              </w:rPr>
            </w:pPr>
            <w:r>
              <w:rPr>
                <w:rFonts w:ascii="Times New Roman" w:eastAsia="Times New Roman" w:hAnsi="Times New Roman"/>
                <w:bCs/>
                <w:sz w:val="24"/>
                <w:szCs w:val="24"/>
                <w:lang w:val="en-US" w:eastAsia="ru-RU"/>
              </w:rPr>
              <w:t>619</w:t>
            </w:r>
          </w:p>
        </w:tc>
        <w:tc>
          <w:tcPr>
            <w:tcW w:w="2550" w:type="dxa"/>
          </w:tcPr>
          <w:p w:rsidR="00583DA6" w:rsidRDefault="006A45D9">
            <w:pPr>
              <w:widowControl w:val="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+96,3%</w:t>
            </w:r>
          </w:p>
        </w:tc>
      </w:tr>
      <w:tr w:rsidR="00583DA6">
        <w:trPr>
          <w:jc w:val="center"/>
        </w:trPr>
        <w:tc>
          <w:tcPr>
            <w:tcW w:w="2830" w:type="dxa"/>
          </w:tcPr>
          <w:p w:rsidR="00583DA6" w:rsidRDefault="006A45D9">
            <w:pPr>
              <w:widowControl w:val="0"/>
              <w:ind w:right="-110"/>
              <w:jc w:val="both"/>
              <w:rPr>
                <w:rFonts w:ascii="Times New Roman" w:eastAsia="Times New Roman" w:hAnsi="Times New Roman"/>
                <w:bCs/>
                <w:sz w:val="24"/>
                <w:szCs w:val="24"/>
                <w:lang w:val="en-US" w:eastAsia="ru-RU"/>
              </w:rPr>
            </w:pPr>
            <w:r>
              <w:rPr>
                <w:rFonts w:ascii="Times New Roman" w:eastAsia="Times New Roman" w:hAnsi="Times New Roman"/>
                <w:bCs/>
                <w:sz w:val="24"/>
                <w:szCs w:val="24"/>
                <w:lang w:val="en-US" w:eastAsia="ru-RU"/>
              </w:rPr>
              <w:t>ГАИС "ЭРА-ГЛОНАСС"</w:t>
            </w:r>
          </w:p>
        </w:tc>
        <w:tc>
          <w:tcPr>
            <w:tcW w:w="2268" w:type="dxa"/>
          </w:tcPr>
          <w:p w:rsidR="00583DA6" w:rsidRDefault="006A45D9">
            <w:pPr>
              <w:widowControl w:val="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47</w:t>
            </w:r>
          </w:p>
        </w:tc>
        <w:tc>
          <w:tcPr>
            <w:tcW w:w="2268" w:type="dxa"/>
            <w:vAlign w:val="center"/>
          </w:tcPr>
          <w:p w:rsidR="00583DA6" w:rsidRDefault="006A45D9">
            <w:pPr>
              <w:widowControl w:val="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38</w:t>
            </w:r>
          </w:p>
        </w:tc>
        <w:tc>
          <w:tcPr>
            <w:tcW w:w="2550" w:type="dxa"/>
          </w:tcPr>
          <w:p w:rsidR="00583DA6" w:rsidRDefault="006A45D9">
            <w:pPr>
              <w:widowControl w:val="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-23%</w:t>
            </w:r>
          </w:p>
        </w:tc>
      </w:tr>
      <w:tr w:rsidR="00583DA6">
        <w:trPr>
          <w:jc w:val="center"/>
        </w:trPr>
        <w:tc>
          <w:tcPr>
            <w:tcW w:w="2830" w:type="dxa"/>
          </w:tcPr>
          <w:p w:rsidR="00583DA6" w:rsidRDefault="006A45D9">
            <w:pPr>
              <w:widowControl w:val="0"/>
              <w:jc w:val="both"/>
              <w:rPr>
                <w:rFonts w:ascii="Times New Roman" w:eastAsia="Times New Roman" w:hAnsi="Times New Roman"/>
                <w:bCs/>
                <w:sz w:val="24"/>
                <w:szCs w:val="24"/>
                <w:lang w:val="en-US" w:eastAsia="ru-RU"/>
              </w:rPr>
            </w:pPr>
            <w:r>
              <w:rPr>
                <w:rFonts w:ascii="Times New Roman" w:eastAsia="Times New Roman" w:hAnsi="Times New Roman"/>
                <w:bCs/>
                <w:sz w:val="24"/>
                <w:szCs w:val="24"/>
                <w:lang w:val="en-US" w:eastAsia="ru-RU"/>
              </w:rPr>
              <w:t>COVID-19</w:t>
            </w:r>
          </w:p>
        </w:tc>
        <w:tc>
          <w:tcPr>
            <w:tcW w:w="2268" w:type="dxa"/>
          </w:tcPr>
          <w:p w:rsidR="00583DA6" w:rsidRDefault="006A45D9">
            <w:pPr>
              <w:widowControl w:val="0"/>
              <w:jc w:val="center"/>
              <w:rPr>
                <w:rFonts w:ascii="Times New Roman" w:eastAsia="Times New Roman" w:hAnsi="Times New Roman"/>
                <w:bCs/>
                <w:sz w:val="24"/>
                <w:szCs w:val="24"/>
                <w:lang w:val="en-US" w:eastAsia="ru-RU"/>
              </w:rPr>
            </w:pPr>
            <w:r>
              <w:rPr>
                <w:rFonts w:ascii="Times New Roman" w:eastAsia="Times New Roman" w:hAnsi="Times New Roman"/>
                <w:bCs/>
                <w:sz w:val="24"/>
                <w:szCs w:val="24"/>
                <w:lang w:val="en-US" w:eastAsia="ru-RU"/>
              </w:rPr>
              <w:t>3565</w:t>
            </w:r>
          </w:p>
        </w:tc>
        <w:tc>
          <w:tcPr>
            <w:tcW w:w="2268" w:type="dxa"/>
            <w:vAlign w:val="center"/>
          </w:tcPr>
          <w:p w:rsidR="00583DA6" w:rsidRDefault="006A45D9">
            <w:pPr>
              <w:widowControl w:val="0"/>
              <w:jc w:val="center"/>
              <w:rPr>
                <w:rFonts w:ascii="Times New Roman" w:eastAsia="Times New Roman" w:hAnsi="Times New Roman"/>
                <w:bCs/>
                <w:sz w:val="24"/>
                <w:szCs w:val="24"/>
                <w:lang w:val="en-US" w:eastAsia="ru-RU"/>
              </w:rPr>
            </w:pPr>
            <w:r>
              <w:rPr>
                <w:rFonts w:ascii="Times New Roman" w:eastAsia="Times New Roman" w:hAnsi="Times New Roman"/>
                <w:bCs/>
                <w:sz w:val="24"/>
                <w:szCs w:val="24"/>
                <w:lang w:val="en-US" w:eastAsia="ru-RU"/>
              </w:rPr>
              <w:t>2755</w:t>
            </w:r>
          </w:p>
        </w:tc>
        <w:tc>
          <w:tcPr>
            <w:tcW w:w="2550" w:type="dxa"/>
          </w:tcPr>
          <w:p w:rsidR="00583DA6" w:rsidRDefault="006A45D9">
            <w:pPr>
              <w:widowControl w:val="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-29,4%</w:t>
            </w:r>
          </w:p>
        </w:tc>
      </w:tr>
      <w:tr w:rsidR="00583DA6">
        <w:trPr>
          <w:jc w:val="center"/>
        </w:trPr>
        <w:tc>
          <w:tcPr>
            <w:tcW w:w="2830" w:type="dxa"/>
          </w:tcPr>
          <w:p w:rsidR="00583DA6" w:rsidRDefault="006A45D9">
            <w:pPr>
              <w:widowControl w:val="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Тестовые вызовы</w:t>
            </w:r>
          </w:p>
        </w:tc>
        <w:tc>
          <w:tcPr>
            <w:tcW w:w="2268" w:type="dxa"/>
          </w:tcPr>
          <w:p w:rsidR="00583DA6" w:rsidRDefault="006A45D9">
            <w:pPr>
              <w:widowControl w:val="0"/>
              <w:jc w:val="center"/>
              <w:rPr>
                <w:rFonts w:ascii="Times New Roman" w:eastAsia="Times New Roman" w:hAnsi="Times New Roman"/>
                <w:bCs/>
                <w:sz w:val="24"/>
                <w:szCs w:val="24"/>
                <w:lang w:val="en-US" w:eastAsia="ru-RU"/>
              </w:rPr>
            </w:pPr>
            <w:r>
              <w:rPr>
                <w:rFonts w:ascii="Times New Roman" w:eastAsia="Times New Roman" w:hAnsi="Times New Roman"/>
                <w:bCs/>
                <w:sz w:val="24"/>
                <w:szCs w:val="24"/>
                <w:lang w:eastAsia="ru-RU"/>
              </w:rPr>
              <w:t>702</w:t>
            </w:r>
          </w:p>
        </w:tc>
        <w:tc>
          <w:tcPr>
            <w:tcW w:w="2268" w:type="dxa"/>
            <w:vAlign w:val="center"/>
          </w:tcPr>
          <w:p w:rsidR="00583DA6" w:rsidRDefault="006A45D9">
            <w:pPr>
              <w:widowControl w:val="0"/>
              <w:jc w:val="center"/>
              <w:rPr>
                <w:rFonts w:ascii="Times New Roman" w:eastAsia="Times New Roman" w:hAnsi="Times New Roman"/>
                <w:bCs/>
                <w:sz w:val="24"/>
                <w:szCs w:val="24"/>
                <w:lang w:val="en-US" w:eastAsia="ru-RU"/>
              </w:rPr>
            </w:pPr>
            <w:r>
              <w:rPr>
                <w:rFonts w:ascii="Times New Roman" w:eastAsia="Times New Roman" w:hAnsi="Times New Roman"/>
                <w:bCs/>
                <w:sz w:val="24"/>
                <w:szCs w:val="24"/>
                <w:lang w:val="en-US" w:eastAsia="ru-RU"/>
              </w:rPr>
              <w:t>1912</w:t>
            </w:r>
          </w:p>
        </w:tc>
        <w:tc>
          <w:tcPr>
            <w:tcW w:w="2550" w:type="dxa"/>
          </w:tcPr>
          <w:p w:rsidR="00583DA6" w:rsidRDefault="006A45D9">
            <w:pPr>
              <w:widowControl w:val="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+63,3%</w:t>
            </w:r>
          </w:p>
        </w:tc>
      </w:tr>
      <w:tr w:rsidR="00583DA6">
        <w:trPr>
          <w:jc w:val="center"/>
        </w:trPr>
        <w:tc>
          <w:tcPr>
            <w:tcW w:w="2830" w:type="dxa"/>
          </w:tcPr>
          <w:p w:rsidR="00583DA6" w:rsidRDefault="006A45D9">
            <w:pPr>
              <w:widowControl w:val="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Справочные</w:t>
            </w:r>
          </w:p>
        </w:tc>
        <w:tc>
          <w:tcPr>
            <w:tcW w:w="2268" w:type="dxa"/>
          </w:tcPr>
          <w:p w:rsidR="00583DA6" w:rsidRDefault="006A45D9">
            <w:pPr>
              <w:widowControl w:val="0"/>
              <w:jc w:val="center"/>
              <w:rPr>
                <w:rFonts w:ascii="Times New Roman" w:eastAsia="Times New Roman" w:hAnsi="Times New Roman"/>
                <w:bCs/>
                <w:sz w:val="24"/>
                <w:szCs w:val="24"/>
                <w:lang w:val="en-US" w:eastAsia="ru-RU"/>
              </w:rPr>
            </w:pPr>
            <w:r>
              <w:rPr>
                <w:rFonts w:ascii="Times New Roman" w:eastAsia="Times New Roman" w:hAnsi="Times New Roman"/>
                <w:bCs/>
                <w:sz w:val="24"/>
                <w:szCs w:val="24"/>
                <w:lang w:eastAsia="ru-RU"/>
              </w:rPr>
              <w:t>43923</w:t>
            </w:r>
          </w:p>
        </w:tc>
        <w:tc>
          <w:tcPr>
            <w:tcW w:w="2268" w:type="dxa"/>
            <w:vAlign w:val="center"/>
          </w:tcPr>
          <w:p w:rsidR="00583DA6" w:rsidRDefault="006A45D9">
            <w:pPr>
              <w:widowControl w:val="0"/>
              <w:jc w:val="center"/>
              <w:rPr>
                <w:rFonts w:ascii="Times New Roman" w:eastAsia="Times New Roman" w:hAnsi="Times New Roman"/>
                <w:bCs/>
                <w:sz w:val="24"/>
                <w:szCs w:val="24"/>
                <w:lang w:val="en-US" w:eastAsia="ru-RU"/>
              </w:rPr>
            </w:pPr>
            <w:r>
              <w:rPr>
                <w:rFonts w:ascii="Times New Roman" w:eastAsia="Times New Roman" w:hAnsi="Times New Roman"/>
                <w:bCs/>
                <w:sz w:val="24"/>
                <w:szCs w:val="24"/>
                <w:lang w:val="en-US" w:eastAsia="ru-RU"/>
              </w:rPr>
              <w:t>47986</w:t>
            </w:r>
          </w:p>
        </w:tc>
        <w:tc>
          <w:tcPr>
            <w:tcW w:w="2550" w:type="dxa"/>
          </w:tcPr>
          <w:p w:rsidR="00583DA6" w:rsidRDefault="006A45D9">
            <w:pPr>
              <w:widowControl w:val="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+8,5%</w:t>
            </w:r>
          </w:p>
        </w:tc>
      </w:tr>
      <w:tr w:rsidR="00583DA6">
        <w:trPr>
          <w:jc w:val="center"/>
        </w:trPr>
        <w:tc>
          <w:tcPr>
            <w:tcW w:w="2830" w:type="dxa"/>
          </w:tcPr>
          <w:p w:rsidR="00583DA6" w:rsidRDefault="006A45D9">
            <w:pPr>
              <w:widowControl w:val="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Детская шалость</w:t>
            </w:r>
          </w:p>
        </w:tc>
        <w:tc>
          <w:tcPr>
            <w:tcW w:w="2268" w:type="dxa"/>
          </w:tcPr>
          <w:p w:rsidR="00583DA6" w:rsidRDefault="006A45D9">
            <w:pPr>
              <w:widowControl w:val="0"/>
              <w:jc w:val="center"/>
              <w:rPr>
                <w:rFonts w:ascii="Times New Roman" w:eastAsia="Times New Roman" w:hAnsi="Times New Roman"/>
                <w:bCs/>
                <w:sz w:val="24"/>
                <w:szCs w:val="24"/>
                <w:lang w:val="en-US" w:eastAsia="ru-RU"/>
              </w:rPr>
            </w:pPr>
            <w:r>
              <w:rPr>
                <w:rFonts w:ascii="Times New Roman" w:eastAsia="Times New Roman" w:hAnsi="Times New Roman"/>
                <w:bCs/>
                <w:sz w:val="24"/>
                <w:szCs w:val="24"/>
                <w:lang w:eastAsia="ru-RU"/>
              </w:rPr>
              <w:t>910</w:t>
            </w:r>
          </w:p>
        </w:tc>
        <w:tc>
          <w:tcPr>
            <w:tcW w:w="2268" w:type="dxa"/>
            <w:vAlign w:val="center"/>
          </w:tcPr>
          <w:p w:rsidR="00583DA6" w:rsidRDefault="006A45D9">
            <w:pPr>
              <w:widowControl w:val="0"/>
              <w:jc w:val="center"/>
              <w:rPr>
                <w:rFonts w:ascii="Times New Roman" w:eastAsia="Times New Roman" w:hAnsi="Times New Roman"/>
                <w:bCs/>
                <w:sz w:val="24"/>
                <w:szCs w:val="24"/>
                <w:lang w:val="en-US" w:eastAsia="ru-RU"/>
              </w:rPr>
            </w:pPr>
            <w:r>
              <w:rPr>
                <w:rFonts w:ascii="Times New Roman" w:eastAsia="Times New Roman" w:hAnsi="Times New Roman"/>
                <w:bCs/>
                <w:sz w:val="24"/>
                <w:szCs w:val="24"/>
                <w:lang w:val="en-US" w:eastAsia="ru-RU"/>
              </w:rPr>
              <w:t>1088</w:t>
            </w:r>
          </w:p>
        </w:tc>
        <w:tc>
          <w:tcPr>
            <w:tcW w:w="2550" w:type="dxa"/>
          </w:tcPr>
          <w:p w:rsidR="00583DA6" w:rsidRDefault="006A45D9">
            <w:pPr>
              <w:widowControl w:val="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+16,4%</w:t>
            </w:r>
          </w:p>
        </w:tc>
      </w:tr>
      <w:tr w:rsidR="00583DA6">
        <w:trPr>
          <w:jc w:val="center"/>
        </w:trPr>
        <w:tc>
          <w:tcPr>
            <w:tcW w:w="2830" w:type="dxa"/>
          </w:tcPr>
          <w:p w:rsidR="00583DA6" w:rsidRDefault="006A45D9">
            <w:pPr>
              <w:widowControl w:val="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Ложные</w:t>
            </w:r>
          </w:p>
        </w:tc>
        <w:tc>
          <w:tcPr>
            <w:tcW w:w="2268" w:type="dxa"/>
          </w:tcPr>
          <w:p w:rsidR="00583DA6" w:rsidRDefault="006A45D9">
            <w:pPr>
              <w:widowControl w:val="0"/>
              <w:jc w:val="center"/>
              <w:rPr>
                <w:rFonts w:ascii="Times New Roman" w:eastAsia="Times New Roman" w:hAnsi="Times New Roman"/>
                <w:bCs/>
                <w:sz w:val="24"/>
                <w:szCs w:val="24"/>
                <w:lang w:val="en-US" w:eastAsia="ru-RU"/>
              </w:rPr>
            </w:pPr>
            <w:r>
              <w:rPr>
                <w:rFonts w:ascii="Times New Roman" w:eastAsia="Times New Roman" w:hAnsi="Times New Roman"/>
                <w:bCs/>
                <w:sz w:val="24"/>
                <w:szCs w:val="24"/>
                <w:lang w:eastAsia="ru-RU"/>
              </w:rPr>
              <w:t>64140</w:t>
            </w:r>
          </w:p>
        </w:tc>
        <w:tc>
          <w:tcPr>
            <w:tcW w:w="2268" w:type="dxa"/>
            <w:vAlign w:val="center"/>
          </w:tcPr>
          <w:p w:rsidR="00583DA6" w:rsidRDefault="006A45D9">
            <w:pPr>
              <w:widowControl w:val="0"/>
              <w:jc w:val="center"/>
              <w:rPr>
                <w:rFonts w:ascii="Times New Roman" w:eastAsia="Times New Roman" w:hAnsi="Times New Roman"/>
                <w:bCs/>
                <w:sz w:val="24"/>
                <w:szCs w:val="24"/>
                <w:lang w:val="en-US" w:eastAsia="ru-RU"/>
              </w:rPr>
            </w:pPr>
            <w:r>
              <w:rPr>
                <w:rFonts w:ascii="Times New Roman" w:eastAsia="Times New Roman" w:hAnsi="Times New Roman"/>
                <w:bCs/>
                <w:sz w:val="24"/>
                <w:szCs w:val="24"/>
                <w:lang w:val="en-US" w:eastAsia="ru-RU"/>
              </w:rPr>
              <w:t>61477</w:t>
            </w:r>
          </w:p>
        </w:tc>
        <w:tc>
          <w:tcPr>
            <w:tcW w:w="2550" w:type="dxa"/>
          </w:tcPr>
          <w:p w:rsidR="00583DA6" w:rsidRDefault="006A45D9">
            <w:pPr>
              <w:widowControl w:val="0"/>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-4,3%</w:t>
            </w:r>
          </w:p>
        </w:tc>
      </w:tr>
      <w:tr w:rsidR="00583DA6">
        <w:trPr>
          <w:jc w:val="center"/>
        </w:trPr>
        <w:tc>
          <w:tcPr>
            <w:tcW w:w="2830" w:type="dxa"/>
          </w:tcPr>
          <w:p w:rsidR="00583DA6" w:rsidRDefault="006A45D9">
            <w:pPr>
              <w:widowControl w:val="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Общее количество</w:t>
            </w:r>
          </w:p>
        </w:tc>
        <w:tc>
          <w:tcPr>
            <w:tcW w:w="2268" w:type="dxa"/>
            <w:vAlign w:val="center"/>
          </w:tcPr>
          <w:p w:rsidR="00583DA6" w:rsidRDefault="006A45D9">
            <w:pPr>
              <w:widowControl w:val="0"/>
              <w:jc w:val="center"/>
              <w:rPr>
                <w:rFonts w:ascii="Times New Roman" w:eastAsia="Times New Roman" w:hAnsi="Times New Roman"/>
                <w:b/>
                <w:sz w:val="24"/>
                <w:szCs w:val="24"/>
                <w:lang w:val="en-US" w:eastAsia="ru-RU"/>
              </w:rPr>
            </w:pPr>
            <w:r>
              <w:rPr>
                <w:rFonts w:ascii="Times New Roman" w:eastAsia="Times New Roman" w:hAnsi="Times New Roman"/>
                <w:b/>
                <w:sz w:val="24"/>
                <w:szCs w:val="24"/>
                <w:lang w:val="en-US" w:eastAsia="ru-RU"/>
              </w:rPr>
              <w:t>156 793</w:t>
            </w:r>
          </w:p>
        </w:tc>
        <w:tc>
          <w:tcPr>
            <w:tcW w:w="2268" w:type="dxa"/>
            <w:vAlign w:val="center"/>
          </w:tcPr>
          <w:p w:rsidR="00583DA6" w:rsidRDefault="006A45D9">
            <w:pPr>
              <w:widowControl w:val="0"/>
              <w:jc w:val="center"/>
              <w:rPr>
                <w:rFonts w:ascii="Times New Roman" w:eastAsia="Times New Roman" w:hAnsi="Times New Roman"/>
                <w:b/>
                <w:sz w:val="24"/>
                <w:szCs w:val="24"/>
                <w:lang w:val="en-US" w:eastAsia="ru-RU"/>
              </w:rPr>
            </w:pPr>
            <w:r>
              <w:rPr>
                <w:rFonts w:ascii="Times New Roman" w:eastAsia="Times New Roman" w:hAnsi="Times New Roman"/>
                <w:b/>
                <w:sz w:val="24"/>
                <w:szCs w:val="24"/>
                <w:lang w:val="en-US" w:eastAsia="ru-RU"/>
              </w:rPr>
              <w:t>16</w:t>
            </w:r>
            <w:r>
              <w:rPr>
                <w:rFonts w:ascii="Times New Roman" w:eastAsia="Times New Roman" w:hAnsi="Times New Roman"/>
                <w:b/>
                <w:sz w:val="24"/>
                <w:szCs w:val="24"/>
                <w:lang w:eastAsia="ru-RU"/>
              </w:rPr>
              <w:t>5 612</w:t>
            </w:r>
          </w:p>
        </w:tc>
        <w:tc>
          <w:tcPr>
            <w:tcW w:w="2550" w:type="dxa"/>
            <w:vAlign w:val="center"/>
          </w:tcPr>
          <w:p w:rsidR="00583DA6" w:rsidRDefault="006A45D9">
            <w:pPr>
              <w:widowControl w:val="0"/>
              <w:jc w:val="center"/>
              <w:rPr>
                <w:rFonts w:ascii="Times New Roman" w:eastAsia="Times New Roman" w:hAnsi="Times New Roman"/>
                <w:b/>
                <w:sz w:val="24"/>
                <w:szCs w:val="24"/>
                <w:lang w:eastAsia="ru-RU"/>
              </w:rPr>
            </w:pPr>
            <w:r>
              <w:rPr>
                <w:rFonts w:ascii="Times New Roman" w:eastAsia="Times New Roman" w:hAnsi="Times New Roman"/>
                <w:b/>
                <w:sz w:val="24"/>
                <w:szCs w:val="24"/>
                <w:lang w:val="en-US" w:eastAsia="ru-RU"/>
              </w:rPr>
              <w:t>+</w:t>
            </w:r>
            <w:r>
              <w:rPr>
                <w:rFonts w:ascii="Times New Roman" w:eastAsia="Times New Roman" w:hAnsi="Times New Roman"/>
                <w:b/>
                <w:sz w:val="24"/>
                <w:szCs w:val="24"/>
                <w:lang w:eastAsia="ru-RU"/>
              </w:rPr>
              <w:t>4,3%</w:t>
            </w:r>
          </w:p>
        </w:tc>
      </w:tr>
    </w:tbl>
    <w:p w:rsidR="00583DA6" w:rsidRDefault="00583DA6">
      <w:pPr>
        <w:ind w:firstLine="709"/>
        <w:contextualSpacing/>
        <w:jc w:val="both"/>
        <w:rPr>
          <w:rFonts w:ascii="Times New Roman" w:eastAsia="Times New Roman" w:hAnsi="Times New Roman"/>
          <w:sz w:val="28"/>
          <w:szCs w:val="28"/>
          <w:lang w:eastAsia="ru-RU"/>
        </w:rPr>
      </w:pPr>
    </w:p>
    <w:p w:rsidR="00583DA6" w:rsidRDefault="006A45D9">
      <w:pPr>
        <w:pBdr>
          <w:top w:val="single" w:sz="18" w:space="1" w:color="000000"/>
        </w:pBdr>
        <w:ind w:firstLine="709"/>
        <w:jc w:val="both"/>
        <w:outlineLvl w:val="2"/>
        <w:rPr>
          <w:rFonts w:ascii="Times New Roman" w:eastAsia="Times New Roman" w:hAnsi="Times New Roman"/>
          <w:b/>
          <w:sz w:val="28"/>
          <w:szCs w:val="28"/>
          <w:lang w:eastAsia="ru-RU"/>
        </w:rPr>
      </w:pPr>
      <w:bookmarkStart w:id="19" w:name="_Toc132664208"/>
      <w:r>
        <w:rPr>
          <w:rFonts w:ascii="Times New Roman" w:eastAsia="Times New Roman" w:hAnsi="Times New Roman"/>
          <w:b/>
          <w:sz w:val="28"/>
          <w:szCs w:val="28"/>
          <w:lang w:eastAsia="ru-RU"/>
        </w:rPr>
        <w:t>Территориальное развитие</w:t>
      </w:r>
      <w:bookmarkEnd w:id="19"/>
    </w:p>
    <w:p w:rsidR="00583DA6" w:rsidRDefault="00583DA6">
      <w:pPr>
        <w:ind w:firstLine="709"/>
        <w:jc w:val="both"/>
        <w:rPr>
          <w:rFonts w:ascii="Times New Roman" w:eastAsia="Times New Roman" w:hAnsi="Times New Roman"/>
          <w:sz w:val="28"/>
          <w:szCs w:val="28"/>
          <w:lang w:eastAsia="ru-RU"/>
        </w:rPr>
      </w:pP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Для </w:t>
      </w:r>
      <w:r>
        <w:rPr>
          <w:rFonts w:ascii="Times New Roman" w:eastAsia="Times New Roman" w:hAnsi="Times New Roman"/>
          <w:sz w:val="28"/>
          <w:szCs w:val="28"/>
          <w:lang w:eastAsia="ru-RU"/>
        </w:rPr>
        <w:t>улучшения качества и уровня жизни населения в Корякском округе в Камчатском крае реализуется государственная программа Камчатского края «Социальное и экономическое развитие территории с особым статусом «Корякский округ» (далее – Программа).</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Ответственность</w:t>
      </w:r>
      <w:r>
        <w:rPr>
          <w:rFonts w:ascii="Times New Roman" w:eastAsia="Times New Roman" w:hAnsi="Times New Roman"/>
          <w:sz w:val="28"/>
          <w:szCs w:val="28"/>
          <w:lang w:eastAsia="ru-RU"/>
        </w:rPr>
        <w:t xml:space="preserve"> за реализацию Программы с 2021 года возложена на Министерство по делам местного самоуправления и развитию Корякского округа Камчатского края.</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Для структуризации бюджетных расходов по приоритетным целям и задачам, направленным на улучшение качества и уровн</w:t>
      </w:r>
      <w:r>
        <w:rPr>
          <w:rFonts w:ascii="Times New Roman" w:eastAsia="Times New Roman" w:hAnsi="Times New Roman"/>
          <w:sz w:val="28"/>
          <w:szCs w:val="28"/>
          <w:lang w:eastAsia="ru-RU"/>
        </w:rPr>
        <w:t>я жизни населения Корякского округа, Программа сформирована не по отраслевому, а по территориальному принципу.</w:t>
      </w:r>
      <w:r>
        <w:rPr>
          <w:rFonts w:ascii="Times New Roman" w:hAnsi="Times New Roman"/>
          <w:sz w:val="28"/>
          <w:szCs w:val="28"/>
        </w:rPr>
        <w:t xml:space="preserve"> </w:t>
      </w:r>
      <w:r>
        <w:rPr>
          <w:rFonts w:ascii="Times New Roman" w:eastAsia="Times New Roman" w:hAnsi="Times New Roman"/>
          <w:sz w:val="28"/>
          <w:szCs w:val="28"/>
          <w:lang w:eastAsia="ru-RU"/>
        </w:rPr>
        <w:t>Реализация мероприятий Программы осуществляется в рамках отраслевых государственных программ Камчатского края.</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Программе определены важные напр</w:t>
      </w:r>
      <w:r>
        <w:rPr>
          <w:rFonts w:ascii="Times New Roman" w:eastAsia="Times New Roman" w:hAnsi="Times New Roman"/>
          <w:sz w:val="28"/>
          <w:szCs w:val="28"/>
          <w:lang w:eastAsia="ru-RU"/>
        </w:rPr>
        <w:t xml:space="preserve">авления, в рамках которых реализуется комплекс мероприятий, ориентированных на социально-экономическое развитие территории Корякского округа. </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Министерством природных ресурсов и экологии Камчатского края в рамках реализации государственной программы Камчат</w:t>
      </w:r>
      <w:r>
        <w:rPr>
          <w:rFonts w:ascii="Times New Roman" w:eastAsia="Times New Roman" w:hAnsi="Times New Roman"/>
          <w:sz w:val="28"/>
          <w:szCs w:val="28"/>
          <w:lang w:eastAsia="ru-RU"/>
        </w:rPr>
        <w:t>ского края «Охрана окружающей среды, воспроизводство и использование природных ресурсов в Камчатском крае»</w:t>
      </w:r>
      <w:r>
        <w:rPr>
          <w:rFonts w:ascii="Times New Roman" w:hAnsi="Times New Roman"/>
          <w:sz w:val="28"/>
          <w:szCs w:val="28"/>
        </w:rPr>
        <w:t xml:space="preserve"> </w:t>
      </w:r>
      <w:r>
        <w:rPr>
          <w:rFonts w:ascii="Times New Roman" w:eastAsia="Times New Roman" w:hAnsi="Times New Roman"/>
          <w:sz w:val="28"/>
          <w:szCs w:val="28"/>
          <w:lang w:eastAsia="ru-RU"/>
        </w:rPr>
        <w:t>завершены работы по поискам источников хозяйственно-питьевого водоснабжения для двух сельских поселений по следующим мероприятиям:</w:t>
      </w:r>
    </w:p>
    <w:p w:rsidR="00583DA6" w:rsidRDefault="006A45D9">
      <w:pPr>
        <w:ind w:firstLine="709"/>
        <w:jc w:val="both"/>
        <w:rPr>
          <w:rFonts w:ascii="Times New Roman" w:hAnsi="Times New Roman"/>
          <w:sz w:val="28"/>
          <w:szCs w:val="28"/>
        </w:rPr>
      </w:pPr>
      <w:r>
        <w:rPr>
          <w:rFonts w:ascii="Times New Roman" w:hAnsi="Times New Roman"/>
          <w:sz w:val="28"/>
          <w:szCs w:val="28"/>
        </w:rPr>
        <w:t>1. «Выполнение раб</w:t>
      </w:r>
      <w:r>
        <w:rPr>
          <w:rFonts w:ascii="Times New Roman" w:hAnsi="Times New Roman"/>
          <w:sz w:val="28"/>
          <w:szCs w:val="28"/>
        </w:rPr>
        <w:t xml:space="preserve">от по объекту «Поиски источников хозяйственно-питьевого водоснабжения для сельского поселения «село Средние Пахачи» Олюторского муниципального района». Работы по государственному контракту выполнены в полном объеме. Пробурены 2 разведочно-эксплуатационных </w:t>
      </w:r>
      <w:r>
        <w:rPr>
          <w:rFonts w:ascii="Times New Roman" w:hAnsi="Times New Roman"/>
          <w:sz w:val="28"/>
          <w:szCs w:val="28"/>
        </w:rPr>
        <w:t>скважины (основная и резервная). В настоящее время Министерством проводится работа по передаче пробуренных скважин на баланс Администрации Олюторского муниципального района.</w:t>
      </w:r>
    </w:p>
    <w:p w:rsidR="00583DA6" w:rsidRDefault="006A45D9">
      <w:pPr>
        <w:ind w:firstLine="709"/>
        <w:jc w:val="both"/>
        <w:rPr>
          <w:rFonts w:ascii="Times New Roman" w:hAnsi="Times New Roman"/>
          <w:sz w:val="28"/>
          <w:szCs w:val="28"/>
        </w:rPr>
      </w:pPr>
      <w:r>
        <w:rPr>
          <w:rFonts w:ascii="Times New Roman" w:hAnsi="Times New Roman"/>
          <w:sz w:val="28"/>
          <w:szCs w:val="28"/>
        </w:rPr>
        <w:t>2. «Выполнение работ по объекту «Поиски и оценка питьевых подземных вод для хозяйс</w:t>
      </w:r>
      <w:r>
        <w:rPr>
          <w:rFonts w:ascii="Times New Roman" w:hAnsi="Times New Roman"/>
          <w:sz w:val="28"/>
          <w:szCs w:val="28"/>
        </w:rPr>
        <w:t>твенно-питьевого водоснабжения сельского поселения «село Седанка» Тигильского муниципального района». Работы по госконтракту выполнены подрядчиком с нарушением сроков. В Министерство предоставлен отчёт ООО «ГеоЗапас» о результатах и объемах работ по объект</w:t>
      </w:r>
      <w:r>
        <w:rPr>
          <w:rFonts w:ascii="Times New Roman" w:hAnsi="Times New Roman"/>
          <w:sz w:val="28"/>
          <w:szCs w:val="28"/>
        </w:rPr>
        <w:t>у, на который получено отрицательное заключение государственной экспертизы № № 23-ПВ-ППВ/2022 от 23.12.2022.</w:t>
      </w:r>
    </w:p>
    <w:p w:rsidR="00583DA6" w:rsidRDefault="006A45D9">
      <w:pPr>
        <w:ind w:firstLine="709"/>
        <w:jc w:val="both"/>
        <w:rPr>
          <w:rFonts w:ascii="Times New Roman" w:hAnsi="Times New Roman"/>
          <w:sz w:val="28"/>
          <w:szCs w:val="28"/>
        </w:rPr>
      </w:pPr>
      <w:r>
        <w:rPr>
          <w:rFonts w:ascii="Times New Roman" w:hAnsi="Times New Roman"/>
          <w:sz w:val="28"/>
          <w:szCs w:val="28"/>
        </w:rPr>
        <w:t xml:space="preserve">Результатами выполненных работ по геологическому изучению недр в пределах УНМЗ «Седанкинская площадь» месторождение питьевых подземных вод с </w:t>
      </w:r>
      <w:r>
        <w:rPr>
          <w:rFonts w:ascii="Times New Roman" w:hAnsi="Times New Roman"/>
          <w:sz w:val="28"/>
          <w:szCs w:val="28"/>
        </w:rPr>
        <w:t>запасами в объеме заявленной потребности (402 м3/сут) не выявлено. Отсутствие экспертного заключения уполномоченного органа Федеральной службы по надзору в сфере защиты прав потребителей и благополучия человека о соответствии качества воды СанПиН 1.2.3685-</w:t>
      </w:r>
      <w:r>
        <w:rPr>
          <w:rFonts w:ascii="Times New Roman" w:hAnsi="Times New Roman"/>
          <w:sz w:val="28"/>
          <w:szCs w:val="28"/>
        </w:rPr>
        <w:t>21 и возможности её использования по целевому назначению делает невозможными утверждение и постановку запасов питьевых подземных вод по УНМЗ «Седанкинская площадь» на государственный баланс.</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Также происходит поэтапное приобретение 12-ти квартир в сельском </w:t>
      </w:r>
      <w:r>
        <w:rPr>
          <w:rFonts w:ascii="Times New Roman" w:eastAsia="Times New Roman" w:hAnsi="Times New Roman"/>
          <w:sz w:val="28"/>
          <w:szCs w:val="28"/>
          <w:lang w:eastAsia="ru-RU"/>
        </w:rPr>
        <w:t>поселении «село Слаутное» Пенжинского муниципального района. Выкуп осуществляется поэтапно с учетом строительной готовности строящегося жилого 12-ти квартирного дома.</w:t>
      </w:r>
      <w:r>
        <w:rPr>
          <w:rFonts w:ascii="Times New Roman" w:hAnsi="Times New Roman"/>
          <w:sz w:val="28"/>
          <w:szCs w:val="28"/>
        </w:rPr>
        <w:t xml:space="preserve"> </w:t>
      </w:r>
      <w:r>
        <w:rPr>
          <w:rFonts w:ascii="Times New Roman" w:eastAsia="Times New Roman" w:hAnsi="Times New Roman"/>
          <w:sz w:val="28"/>
          <w:szCs w:val="28"/>
          <w:lang w:eastAsia="ru-RU"/>
        </w:rPr>
        <w:t xml:space="preserve">Ввод объекта в эксплуатацию – 22 ноября 2022 года. </w:t>
      </w:r>
      <w:r>
        <w:rPr>
          <w:rFonts w:ascii="Times New Roman" w:hAnsi="Times New Roman"/>
          <w:sz w:val="28"/>
          <w:szCs w:val="28"/>
        </w:rPr>
        <w:t>Общая площадь 12 квартир – не менее 58</w:t>
      </w:r>
      <w:r>
        <w:rPr>
          <w:rFonts w:ascii="Times New Roman" w:hAnsi="Times New Roman"/>
          <w:sz w:val="28"/>
          <w:szCs w:val="28"/>
        </w:rPr>
        <w:t>0 кв. м.</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Министерством здравоохранения Камчатского края в рамках реализации государственной программы Камчатского края «Развития здравоохранения Камчатского края»</w:t>
      </w:r>
      <w:r>
        <w:rPr>
          <w:rFonts w:ascii="Times New Roman" w:hAnsi="Times New Roman"/>
          <w:sz w:val="28"/>
          <w:szCs w:val="28"/>
        </w:rPr>
        <w:t xml:space="preserve"> </w:t>
      </w:r>
      <w:r>
        <w:rPr>
          <w:rFonts w:ascii="Times New Roman" w:eastAsia="Times New Roman" w:hAnsi="Times New Roman"/>
          <w:sz w:val="28"/>
          <w:szCs w:val="28"/>
          <w:lang w:eastAsia="ru-RU"/>
        </w:rPr>
        <w:t>осуществлялись профилактика заболеваний и формирование здорового образа жизни, развитие перви</w:t>
      </w:r>
      <w:r>
        <w:rPr>
          <w:rFonts w:ascii="Times New Roman" w:eastAsia="Times New Roman" w:hAnsi="Times New Roman"/>
          <w:sz w:val="28"/>
          <w:szCs w:val="28"/>
          <w:lang w:eastAsia="ru-RU"/>
        </w:rPr>
        <w:t>чной медико-санитарной помощи; совершенствование оказания специализированной, включая высокотехнологичную, медицинскую помощь, скорой помощи, медицинской эвакуации; оказание паллиативной помощи, в том числе детям; меры социальной поддержки медицинских рабо</w:t>
      </w:r>
      <w:r>
        <w:rPr>
          <w:rFonts w:ascii="Times New Roman" w:eastAsia="Times New Roman" w:hAnsi="Times New Roman"/>
          <w:sz w:val="28"/>
          <w:szCs w:val="28"/>
          <w:lang w:eastAsia="ru-RU"/>
        </w:rPr>
        <w:t>тников, совершенствование системы лекарственного обеспечения, в том числе в амбулаторных условиях.</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Министерством образования Камчатского края в рамках реализации государственной программы Камчатского края «Развитие образования в Камчатском крае»</w:t>
      </w:r>
      <w:r>
        <w:rPr>
          <w:rFonts w:ascii="Times New Roman" w:hAnsi="Times New Roman"/>
          <w:sz w:val="28"/>
          <w:szCs w:val="28"/>
        </w:rPr>
        <w:t xml:space="preserve"> </w:t>
      </w:r>
      <w:r>
        <w:rPr>
          <w:rFonts w:ascii="Times New Roman" w:eastAsia="Times New Roman" w:hAnsi="Times New Roman"/>
          <w:sz w:val="28"/>
          <w:szCs w:val="28"/>
          <w:lang w:eastAsia="ru-RU"/>
        </w:rPr>
        <w:t>обеспечено</w:t>
      </w:r>
      <w:r>
        <w:rPr>
          <w:rFonts w:ascii="Times New Roman" w:eastAsia="Times New Roman" w:hAnsi="Times New Roman"/>
          <w:sz w:val="28"/>
          <w:szCs w:val="28"/>
          <w:lang w:eastAsia="ru-RU"/>
        </w:rPr>
        <w:t xml:space="preserve"> финансирование мероприятий по развитию дошкольного, общего образования детей, сферы дополнительного образования и социализации детей, реализации образовательных программ среднего профессионального обучения на основе государственного задания с учетом выход</w:t>
      </w:r>
      <w:r>
        <w:rPr>
          <w:rFonts w:ascii="Times New Roman" w:eastAsia="Times New Roman" w:hAnsi="Times New Roman"/>
          <w:sz w:val="28"/>
          <w:szCs w:val="28"/>
          <w:lang w:eastAsia="ru-RU"/>
        </w:rPr>
        <w:t>а на эффективный контракт с педагогическими работниками, а также развития инфраструктуры дошкольного, общего образования и дополнительного образования детей.</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Министерством социального благополучия и семейной политики Камчатского края в рамках реализации го</w:t>
      </w:r>
      <w:r>
        <w:rPr>
          <w:rFonts w:ascii="Times New Roman" w:eastAsia="Times New Roman" w:hAnsi="Times New Roman"/>
          <w:sz w:val="28"/>
          <w:szCs w:val="28"/>
          <w:lang w:eastAsia="ru-RU"/>
        </w:rPr>
        <w:t>сударственных программ Камчатского края «Социальная поддержка граждан в Камчатском крае» и «Семья и дети Камчатки» реализованы мероприятия по повышению доступности социального обслуживания граждан, повышению уровня и качества жизни пожилых граждан, инвалид</w:t>
      </w:r>
      <w:r>
        <w:rPr>
          <w:rFonts w:ascii="Times New Roman" w:eastAsia="Times New Roman" w:hAnsi="Times New Roman"/>
          <w:sz w:val="28"/>
          <w:szCs w:val="28"/>
          <w:lang w:eastAsia="ru-RU"/>
        </w:rPr>
        <w:t xml:space="preserve">ов, детей-инвалидов и их семей, семей с детьми и других социально незащищенных категорий граждан, укрепления социального института семьи, а также по укреплению материально-технической базы учреждений; мерам социальной поддержки отдельных категорий граждан </w:t>
      </w:r>
      <w:r>
        <w:rPr>
          <w:rFonts w:ascii="Times New Roman" w:eastAsia="Times New Roman" w:hAnsi="Times New Roman"/>
          <w:sz w:val="28"/>
          <w:szCs w:val="28"/>
          <w:lang w:eastAsia="ru-RU"/>
        </w:rPr>
        <w:t>в форме различных выплат.</w:t>
      </w:r>
    </w:p>
    <w:p w:rsidR="00583DA6" w:rsidRDefault="006A45D9">
      <w:pPr>
        <w:ind w:firstLine="709"/>
        <w:jc w:val="both"/>
        <w:rPr>
          <w:rFonts w:ascii="Times New Roman" w:hAnsi="Times New Roman"/>
          <w:sz w:val="28"/>
          <w:szCs w:val="28"/>
        </w:rPr>
      </w:pPr>
      <w:r>
        <w:rPr>
          <w:rFonts w:ascii="Times New Roman" w:eastAsia="Times New Roman" w:hAnsi="Times New Roman"/>
          <w:sz w:val="28"/>
          <w:szCs w:val="28"/>
          <w:lang w:eastAsia="ru-RU"/>
        </w:rPr>
        <w:t>Министерством труда и развития кадрового потенциала Камчатского края в рамках реализации государственной программы Камчатского края</w:t>
      </w:r>
      <w:r>
        <w:rPr>
          <w:rFonts w:ascii="Times New Roman" w:hAnsi="Times New Roman"/>
          <w:sz w:val="28"/>
          <w:szCs w:val="28"/>
        </w:rPr>
        <w:t xml:space="preserve"> «</w:t>
      </w:r>
      <w:r>
        <w:rPr>
          <w:rFonts w:ascii="Times New Roman" w:eastAsia="Times New Roman" w:hAnsi="Times New Roman"/>
          <w:sz w:val="28"/>
          <w:szCs w:val="28"/>
          <w:lang w:eastAsia="ru-RU"/>
        </w:rPr>
        <w:t>Содействие занятости населения Камчатского края» реализуются мероприятия, направленные на развити</w:t>
      </w:r>
      <w:r>
        <w:rPr>
          <w:rFonts w:ascii="Times New Roman" w:eastAsia="Times New Roman" w:hAnsi="Times New Roman"/>
          <w:sz w:val="28"/>
          <w:szCs w:val="28"/>
          <w:lang w:eastAsia="ru-RU"/>
        </w:rPr>
        <w:t>е трудовых ресурсов на территории Корякского округа, повышение их мобильности и защиту регионального рынка.</w:t>
      </w:r>
      <w:r>
        <w:rPr>
          <w:rFonts w:ascii="Times New Roman" w:hAnsi="Times New Roman"/>
          <w:sz w:val="28"/>
          <w:szCs w:val="28"/>
        </w:rPr>
        <w:t xml:space="preserve"> </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За содействием в поиске подходящей работы в органы государственной службы занятости населения Корякского округа в 2022 году обратились 449 человек,</w:t>
      </w:r>
      <w:r>
        <w:rPr>
          <w:rFonts w:ascii="Times New Roman" w:eastAsia="Times New Roman" w:hAnsi="Times New Roman"/>
          <w:sz w:val="28"/>
          <w:szCs w:val="28"/>
          <w:lang w:eastAsia="ru-RU"/>
        </w:rPr>
        <w:t xml:space="preserve"> трудоустроено 311 человек. Уровень трудоустройства составил 69,3%.</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рамках мероприятий активной политики занятости:</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организовано временное трудоустройство 189 несовершеннолетних граждан в возрасте от 14 до 18 лет в свободное от учебы время;</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организовано временное трудоустройство 22 безработных граждан, в том числе оплачиваемые общественные работы – для 20 человек, временное трудоустройство безработных граждан, испытывающих трудности в поиске работы – для 2 человек;</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Pr>
          <w:rFonts w:ascii="Times New Roman" w:hAnsi="Times New Roman"/>
          <w:sz w:val="28"/>
          <w:szCs w:val="28"/>
        </w:rPr>
        <w:t>оказана финансовая поддер</w:t>
      </w:r>
      <w:r>
        <w:rPr>
          <w:rFonts w:ascii="Times New Roman" w:hAnsi="Times New Roman"/>
          <w:sz w:val="28"/>
          <w:szCs w:val="28"/>
        </w:rPr>
        <w:t>жка 1 безработному гражданину и 2 членам его семьи при переселении для трудоустройства в Корякский округ из другого субъекта Российской Федерации</w:t>
      </w:r>
      <w:r>
        <w:rPr>
          <w:rFonts w:ascii="Times New Roman" w:eastAsia="Times New Roman" w:hAnsi="Times New Roman"/>
          <w:sz w:val="28"/>
          <w:szCs w:val="28"/>
          <w:lang w:eastAsia="ru-RU"/>
        </w:rPr>
        <w:t>.</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Государственную услугу по профессиональной ориентации в 2022 году получил 302 человек или 67,3% обратившихся </w:t>
      </w:r>
      <w:r>
        <w:rPr>
          <w:rFonts w:ascii="Times New Roman" w:eastAsia="Times New Roman" w:hAnsi="Times New Roman"/>
          <w:sz w:val="28"/>
          <w:szCs w:val="28"/>
          <w:lang w:eastAsia="ru-RU"/>
        </w:rPr>
        <w:t>в целях поиска работы. Услуга по психологической поддержке оказана 42 безработным гражданам, по социальной адаптации на рынке труда – 44 безработным гражданам.</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 профессиональное обучение и дополнительное профессиональное образование органами службы занят</w:t>
      </w:r>
      <w:r>
        <w:rPr>
          <w:rFonts w:ascii="Times New Roman" w:eastAsia="Times New Roman" w:hAnsi="Times New Roman"/>
          <w:sz w:val="28"/>
          <w:szCs w:val="28"/>
          <w:lang w:eastAsia="ru-RU"/>
        </w:rPr>
        <w:t>ости направлено 2 безработных гражданина.</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рамках реализации государственной программы Камчатского края «Развитие культуры в Камчатском крае»,</w:t>
      </w:r>
      <w:r>
        <w:rPr>
          <w:rFonts w:ascii="Times New Roman" w:hAnsi="Times New Roman"/>
          <w:sz w:val="28"/>
          <w:szCs w:val="28"/>
        </w:rPr>
        <w:t xml:space="preserve"> </w:t>
      </w:r>
      <w:r>
        <w:rPr>
          <w:rFonts w:ascii="Times New Roman" w:eastAsia="Times New Roman" w:hAnsi="Times New Roman"/>
          <w:sz w:val="28"/>
          <w:szCs w:val="28"/>
          <w:lang w:eastAsia="ru-RU"/>
        </w:rPr>
        <w:t>ответственным исполнителем которой является Министерство культуры Камчатского края,</w:t>
      </w:r>
      <w:r>
        <w:rPr>
          <w:rFonts w:ascii="Times New Roman" w:hAnsi="Times New Roman"/>
          <w:sz w:val="28"/>
          <w:szCs w:val="28"/>
        </w:rPr>
        <w:t xml:space="preserve"> </w:t>
      </w:r>
      <w:r>
        <w:rPr>
          <w:rFonts w:ascii="Times New Roman" w:eastAsia="Times New Roman" w:hAnsi="Times New Roman"/>
          <w:sz w:val="28"/>
          <w:szCs w:val="28"/>
          <w:lang w:eastAsia="ru-RU"/>
        </w:rPr>
        <w:t>обеспечено исполнение следую</w:t>
      </w:r>
      <w:r>
        <w:rPr>
          <w:rFonts w:ascii="Times New Roman" w:eastAsia="Times New Roman" w:hAnsi="Times New Roman"/>
          <w:sz w:val="28"/>
          <w:szCs w:val="28"/>
          <w:lang w:eastAsia="ru-RU"/>
        </w:rPr>
        <w:t>щих мероприятий:</w:t>
      </w:r>
    </w:p>
    <w:p w:rsidR="00583DA6" w:rsidRDefault="006A45D9">
      <w:pPr>
        <w:pStyle w:val="aff2"/>
        <w:numPr>
          <w:ilvl w:val="0"/>
          <w:numId w:val="3"/>
        </w:numPr>
        <w:ind w:left="0" w:firstLine="709"/>
        <w:jc w:val="both"/>
        <w:rPr>
          <w:rFonts w:ascii="Times New Roman" w:eastAsia="Times New Roman" w:hAnsi="Times New Roman"/>
          <w:sz w:val="28"/>
          <w:szCs w:val="28"/>
          <w:lang w:eastAsia="ru-RU"/>
        </w:rPr>
      </w:pPr>
      <w:r>
        <w:rPr>
          <w:rFonts w:ascii="Times New Roman" w:hAnsi="Times New Roman"/>
          <w:sz w:val="28"/>
          <w:szCs w:val="28"/>
        </w:rPr>
        <w:t>в Карагинском МР проведены традиционные корякские праздники «День Первой рыбы», «Хололо»;</w:t>
      </w:r>
    </w:p>
    <w:p w:rsidR="00583DA6" w:rsidRDefault="006A45D9">
      <w:pPr>
        <w:pStyle w:val="aff2"/>
        <w:numPr>
          <w:ilvl w:val="0"/>
          <w:numId w:val="3"/>
        </w:numPr>
        <w:ind w:left="0" w:firstLine="709"/>
        <w:jc w:val="both"/>
        <w:rPr>
          <w:rFonts w:ascii="Times New Roman" w:eastAsia="Times New Roman" w:hAnsi="Times New Roman"/>
          <w:sz w:val="28"/>
          <w:szCs w:val="28"/>
          <w:lang w:eastAsia="ru-RU"/>
        </w:rPr>
      </w:pPr>
      <w:r>
        <w:rPr>
          <w:rFonts w:ascii="Times New Roman" w:hAnsi="Times New Roman"/>
          <w:sz w:val="28"/>
          <w:szCs w:val="28"/>
        </w:rPr>
        <w:t>проведено 165 мероприятия культурно-просветительской экспедиции в рамках зимнего фестиваля «БЕРИНГИЯ-2022», участниками которой стали 12 597 человек</w:t>
      </w:r>
      <w:r>
        <w:rPr>
          <w:rFonts w:ascii="Times New Roman" w:eastAsia="Times New Roman" w:hAnsi="Times New Roman"/>
          <w:sz w:val="28"/>
          <w:szCs w:val="28"/>
          <w:lang w:eastAsia="ru-RU"/>
        </w:rPr>
        <w:t>;</w:t>
      </w:r>
    </w:p>
    <w:p w:rsidR="00583DA6" w:rsidRDefault="006A45D9">
      <w:pPr>
        <w:pStyle w:val="aff2"/>
        <w:numPr>
          <w:ilvl w:val="0"/>
          <w:numId w:val="3"/>
        </w:numPr>
        <w:ind w:left="0" w:firstLine="709"/>
        <w:jc w:val="both"/>
        <w:rPr>
          <w:rFonts w:ascii="Times New Roman" w:eastAsia="Times New Roman" w:hAnsi="Times New Roman"/>
          <w:sz w:val="28"/>
          <w:szCs w:val="28"/>
          <w:lang w:eastAsia="ru-RU"/>
        </w:rPr>
      </w:pPr>
      <w:r>
        <w:rPr>
          <w:rFonts w:ascii="Times New Roman" w:hAnsi="Times New Roman"/>
          <w:sz w:val="28"/>
          <w:szCs w:val="28"/>
        </w:rPr>
        <w:t>КГБУ «Корякский центр народного творчества проведен цикл мероприятий, посвященного 15-летию со дня образования Камчатского края (праздничное мероприятие – народные гуляния, окружной конкурс детского рисунка «Камчатский край – мой дом родной», выпуск почто</w:t>
      </w:r>
      <w:r>
        <w:rPr>
          <w:rFonts w:ascii="Times New Roman" w:hAnsi="Times New Roman"/>
          <w:sz w:val="28"/>
          <w:szCs w:val="28"/>
        </w:rPr>
        <w:t>вой открытки «Уникальный Камчатский край»);</w:t>
      </w:r>
    </w:p>
    <w:p w:rsidR="00583DA6" w:rsidRDefault="006A45D9">
      <w:pPr>
        <w:pStyle w:val="aff2"/>
        <w:numPr>
          <w:ilvl w:val="0"/>
          <w:numId w:val="3"/>
        </w:numPr>
        <w:ind w:left="0" w:firstLine="709"/>
        <w:jc w:val="both"/>
        <w:rPr>
          <w:rFonts w:ascii="Times New Roman" w:eastAsia="Times New Roman" w:hAnsi="Times New Roman"/>
          <w:sz w:val="28"/>
          <w:szCs w:val="28"/>
          <w:lang w:eastAsia="ru-RU"/>
        </w:rPr>
      </w:pPr>
      <w:r>
        <w:rPr>
          <w:rFonts w:ascii="Times New Roman" w:hAnsi="Times New Roman"/>
          <w:sz w:val="28"/>
          <w:szCs w:val="28"/>
        </w:rPr>
        <w:t>осуществляются капитальные ремонты двух учреждений, расположенных в Корякском округе - Дом культуры в с. Ачайваям Олюторского муниципального района и Дом культуры в с. Седанка Тигильского муниципального района;</w:t>
      </w:r>
    </w:p>
    <w:p w:rsidR="00583DA6" w:rsidRDefault="006A45D9">
      <w:pPr>
        <w:pStyle w:val="aff2"/>
        <w:numPr>
          <w:ilvl w:val="0"/>
          <w:numId w:val="3"/>
        </w:numPr>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w:t>
      </w:r>
      <w:r>
        <w:rPr>
          <w:rFonts w:ascii="Times New Roman" w:eastAsia="Times New Roman" w:hAnsi="Times New Roman"/>
          <w:sz w:val="28"/>
          <w:szCs w:val="28"/>
          <w:lang w:eastAsia="ru-RU"/>
        </w:rPr>
        <w:t>бновлена материально-техническая база 7-ми домов культуры (пгт. Палана, с. Карага, с. Тымлат, с. Лесная, с. Тиличики, с. Тигиль, с Каменское).</w:t>
      </w:r>
    </w:p>
    <w:p w:rsidR="00583DA6" w:rsidRDefault="006A45D9">
      <w:pPr>
        <w:ind w:firstLine="709"/>
        <w:jc w:val="both"/>
        <w:rPr>
          <w:rFonts w:ascii="Times New Roman" w:hAnsi="Times New Roman"/>
          <w:sz w:val="28"/>
          <w:szCs w:val="28"/>
        </w:rPr>
      </w:pPr>
      <w:r>
        <w:rPr>
          <w:rFonts w:ascii="Times New Roman" w:eastAsia="Times New Roman" w:hAnsi="Times New Roman"/>
          <w:sz w:val="28"/>
          <w:szCs w:val="28"/>
          <w:lang w:eastAsia="ru-RU"/>
        </w:rPr>
        <w:t>Также в рамках инвестиционной программы Камчатского края осуществлены работы по реконструкции здания КГБУ ДО «Кор</w:t>
      </w:r>
      <w:r>
        <w:rPr>
          <w:rFonts w:ascii="Times New Roman" w:eastAsia="Times New Roman" w:hAnsi="Times New Roman"/>
          <w:sz w:val="28"/>
          <w:szCs w:val="28"/>
          <w:lang w:eastAsia="ru-RU"/>
        </w:rPr>
        <w:t xml:space="preserve">якская школа искусств им. Д.Б. Кабалевского». </w:t>
      </w:r>
      <w:r>
        <w:rPr>
          <w:rFonts w:ascii="Times New Roman" w:hAnsi="Times New Roman"/>
          <w:sz w:val="28"/>
          <w:szCs w:val="28"/>
        </w:rPr>
        <w:t>Подрядчиком выполнены подготовительные внутриплощадочные работы на строительной площадке, бетонирование, облицовка керамогранитной плиткой ступеней запасных выходов из здания, зачистка, грунтовка, шпатлёвка пов</w:t>
      </w:r>
      <w:r>
        <w:rPr>
          <w:rFonts w:ascii="Times New Roman" w:hAnsi="Times New Roman"/>
          <w:sz w:val="28"/>
          <w:szCs w:val="28"/>
        </w:rPr>
        <w:t>реждённых участков отделки стен на 1 и 2 этажах, доливка железобетонных стен тепловой камеры. На объект доставлен 5-тонный контейнер с первоочередными материалами и оборудованием. В июле 2022 осуществлен завоз цемента в количестве 16 тонн. 27.09.2022 Подря</w:t>
      </w:r>
      <w:r>
        <w:rPr>
          <w:rFonts w:ascii="Times New Roman" w:hAnsi="Times New Roman"/>
          <w:sz w:val="28"/>
          <w:szCs w:val="28"/>
        </w:rPr>
        <w:t>дчик уведомил Службу заказчика Минстроя Камчатского края об одностороннем отказе от исполнения контракта. Причина – большое количество выявленных замечаний к строительно-монтажным работам, выполненным предыдущими подрядными организациями. Предложение Служб</w:t>
      </w:r>
      <w:r>
        <w:rPr>
          <w:rFonts w:ascii="Times New Roman" w:hAnsi="Times New Roman"/>
          <w:sz w:val="28"/>
          <w:szCs w:val="28"/>
        </w:rPr>
        <w:t xml:space="preserve">ы об урегулировании разногласий путём переговоров в 7 настоящее время подрядчиком проигнорировано. </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рамках государственной программы Камчатского края «Развитие сельского хозяйства и регулирования рынков сельскохозяйственной продукции, сырья и продовольст</w:t>
      </w:r>
      <w:r>
        <w:rPr>
          <w:rFonts w:ascii="Times New Roman" w:eastAsia="Times New Roman" w:hAnsi="Times New Roman"/>
          <w:sz w:val="28"/>
          <w:szCs w:val="28"/>
          <w:lang w:eastAsia="ru-RU"/>
        </w:rPr>
        <w:t>вия Камчатского края» Министерством сельского хозяйства, пищевой и перерабатывающей промышленности Камчатского края оказана поддержка сельскохозяйственным товаропроизводителям.</w:t>
      </w:r>
    </w:p>
    <w:p w:rsidR="00583DA6" w:rsidRDefault="006A45D9">
      <w:pPr>
        <w:pStyle w:val="aff2"/>
        <w:ind w:left="0" w:firstLine="709"/>
        <w:jc w:val="both"/>
        <w:rPr>
          <w:rFonts w:ascii="Times New Roman" w:hAnsi="Times New Roman"/>
          <w:sz w:val="28"/>
          <w:szCs w:val="28"/>
        </w:rPr>
      </w:pPr>
      <w:r>
        <w:rPr>
          <w:rFonts w:ascii="Times New Roman" w:hAnsi="Times New Roman"/>
          <w:sz w:val="28"/>
          <w:szCs w:val="28"/>
        </w:rPr>
        <w:t xml:space="preserve">В целях повышения уровня обеспеченности населения Корякского округа продуктами </w:t>
      </w:r>
      <w:r>
        <w:rPr>
          <w:rFonts w:ascii="Times New Roman" w:hAnsi="Times New Roman"/>
          <w:sz w:val="28"/>
          <w:szCs w:val="28"/>
        </w:rPr>
        <w:t>питания местного производства, доступными по цене и безопасными по качеству Министерством сельского хозяйства, пищевой и перерабатывающей промышленности Камчатского края в 2022 году реализованы мероприятия:</w:t>
      </w:r>
    </w:p>
    <w:p w:rsidR="00583DA6" w:rsidRDefault="006A45D9">
      <w:pPr>
        <w:pStyle w:val="aff2"/>
        <w:ind w:left="0" w:firstLine="709"/>
        <w:jc w:val="both"/>
        <w:rPr>
          <w:rFonts w:ascii="Times New Roman" w:hAnsi="Times New Roman"/>
          <w:sz w:val="28"/>
          <w:szCs w:val="28"/>
        </w:rPr>
      </w:pPr>
      <w:r>
        <w:rPr>
          <w:rFonts w:ascii="Times New Roman" w:hAnsi="Times New Roman"/>
          <w:sz w:val="28"/>
          <w:szCs w:val="28"/>
        </w:rPr>
        <w:t xml:space="preserve">- предоставлена субсидия на содержание поголовья </w:t>
      </w:r>
      <w:r>
        <w:rPr>
          <w:rFonts w:ascii="Times New Roman" w:hAnsi="Times New Roman"/>
          <w:sz w:val="28"/>
          <w:szCs w:val="28"/>
        </w:rPr>
        <w:t xml:space="preserve">коров в </w:t>
      </w:r>
      <w:r>
        <w:rPr>
          <w:rFonts w:ascii="Times New Roman" w:hAnsi="Times New Roman"/>
          <w:sz w:val="28"/>
          <w:szCs w:val="28"/>
        </w:rPr>
        <w:br/>
        <w:t>количестве 48 голов;</w:t>
      </w:r>
    </w:p>
    <w:p w:rsidR="00583DA6" w:rsidRDefault="006A45D9">
      <w:pPr>
        <w:pStyle w:val="aff2"/>
        <w:ind w:left="0" w:firstLine="709"/>
        <w:jc w:val="both"/>
        <w:rPr>
          <w:rFonts w:ascii="Times New Roman" w:hAnsi="Times New Roman"/>
          <w:sz w:val="28"/>
          <w:szCs w:val="28"/>
        </w:rPr>
      </w:pPr>
      <w:r>
        <w:rPr>
          <w:rFonts w:ascii="Times New Roman" w:hAnsi="Times New Roman"/>
          <w:sz w:val="28"/>
          <w:szCs w:val="28"/>
        </w:rPr>
        <w:t xml:space="preserve">- предоставлена субсидия, связанная с содержанием поголовья </w:t>
      </w:r>
      <w:r>
        <w:rPr>
          <w:rFonts w:ascii="Times New Roman" w:hAnsi="Times New Roman"/>
          <w:sz w:val="28"/>
          <w:szCs w:val="28"/>
        </w:rPr>
        <w:br/>
        <w:t>свиней и кур;</w:t>
      </w:r>
    </w:p>
    <w:p w:rsidR="00583DA6" w:rsidRDefault="006A45D9">
      <w:pPr>
        <w:pStyle w:val="aff2"/>
        <w:ind w:left="0" w:firstLine="709"/>
        <w:jc w:val="both"/>
        <w:rPr>
          <w:rFonts w:ascii="Times New Roman" w:hAnsi="Times New Roman"/>
          <w:sz w:val="28"/>
          <w:szCs w:val="28"/>
        </w:rPr>
      </w:pPr>
      <w:r>
        <w:rPr>
          <w:rFonts w:ascii="Times New Roman" w:hAnsi="Times New Roman"/>
          <w:sz w:val="28"/>
          <w:szCs w:val="28"/>
        </w:rPr>
        <w:t xml:space="preserve">- предоставлена субсидия, связанная с содержанием 36 842 голов </w:t>
      </w:r>
      <w:r>
        <w:rPr>
          <w:rFonts w:ascii="Times New Roman" w:hAnsi="Times New Roman"/>
          <w:sz w:val="28"/>
          <w:szCs w:val="28"/>
        </w:rPr>
        <w:br/>
        <w:t>северных оленей;</w:t>
      </w:r>
    </w:p>
    <w:p w:rsidR="00583DA6" w:rsidRDefault="006A45D9">
      <w:pPr>
        <w:pStyle w:val="aff2"/>
        <w:ind w:left="0" w:firstLine="709"/>
        <w:jc w:val="both"/>
        <w:rPr>
          <w:rFonts w:ascii="Times New Roman" w:hAnsi="Times New Roman"/>
          <w:sz w:val="28"/>
          <w:szCs w:val="28"/>
        </w:rPr>
      </w:pPr>
      <w:r>
        <w:rPr>
          <w:rFonts w:ascii="Times New Roman" w:hAnsi="Times New Roman"/>
          <w:sz w:val="28"/>
          <w:szCs w:val="28"/>
        </w:rPr>
        <w:t>- возмещены транспортные расходы по доставке муки для производства хле</w:t>
      </w:r>
      <w:r>
        <w:rPr>
          <w:rFonts w:ascii="Times New Roman" w:hAnsi="Times New Roman"/>
          <w:sz w:val="28"/>
          <w:szCs w:val="28"/>
        </w:rPr>
        <w:t>ба 7 хлебопекарным предприятиям;</w:t>
      </w:r>
    </w:p>
    <w:p w:rsidR="00583DA6" w:rsidRDefault="006A45D9">
      <w:pPr>
        <w:pStyle w:val="aff2"/>
        <w:ind w:left="0" w:firstLine="709"/>
        <w:jc w:val="both"/>
        <w:rPr>
          <w:rFonts w:ascii="Times New Roman" w:hAnsi="Times New Roman"/>
          <w:sz w:val="28"/>
          <w:szCs w:val="28"/>
        </w:rPr>
      </w:pPr>
      <w:r>
        <w:rPr>
          <w:rFonts w:ascii="Times New Roman" w:hAnsi="Times New Roman"/>
          <w:sz w:val="28"/>
          <w:szCs w:val="28"/>
        </w:rPr>
        <w:t>- предоставлена дотация бюджету Тигильского МР на поддержку мер по обеспечению сбалансированности местного бюджета.</w:t>
      </w:r>
    </w:p>
    <w:p w:rsidR="00583DA6" w:rsidRDefault="006A45D9">
      <w:pPr>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целях обеспечения условий для устойчивого исполнения расходных обязательств муниципальных образований в К</w:t>
      </w:r>
      <w:r>
        <w:rPr>
          <w:rFonts w:ascii="Times New Roman" w:eastAsia="Times New Roman" w:hAnsi="Times New Roman"/>
          <w:sz w:val="28"/>
          <w:szCs w:val="28"/>
          <w:lang w:eastAsia="ru-RU"/>
        </w:rPr>
        <w:t>орякском округе и повышения качества управления муниципальными финансами реализуются мероприятия в рамках государственной программы Камчатского края</w:t>
      </w:r>
      <w:r>
        <w:rPr>
          <w:rFonts w:ascii="Times New Roman" w:hAnsi="Times New Roman"/>
          <w:sz w:val="28"/>
          <w:szCs w:val="28"/>
        </w:rPr>
        <w:t xml:space="preserve"> «</w:t>
      </w:r>
      <w:r>
        <w:rPr>
          <w:rFonts w:ascii="Times New Roman" w:eastAsia="Times New Roman" w:hAnsi="Times New Roman"/>
          <w:sz w:val="28"/>
          <w:szCs w:val="28"/>
          <w:lang w:eastAsia="ru-RU"/>
        </w:rPr>
        <w:t>Управление государственными финансами Камчатского края», ответственным исполнителем которой является Минис</w:t>
      </w:r>
      <w:r>
        <w:rPr>
          <w:rFonts w:ascii="Times New Roman" w:eastAsia="Times New Roman" w:hAnsi="Times New Roman"/>
          <w:sz w:val="28"/>
          <w:szCs w:val="28"/>
          <w:lang w:eastAsia="ru-RU"/>
        </w:rPr>
        <w:t>терство финансов Камчатского края.</w:t>
      </w:r>
    </w:p>
    <w:p w:rsidR="00583DA6" w:rsidRDefault="006A45D9">
      <w:pPr>
        <w:pStyle w:val="aff2"/>
        <w:ind w:left="0" w:firstLine="709"/>
        <w:jc w:val="both"/>
        <w:rPr>
          <w:rFonts w:ascii="Times New Roman" w:hAnsi="Times New Roman"/>
          <w:sz w:val="28"/>
          <w:szCs w:val="28"/>
        </w:rPr>
      </w:pPr>
      <w:r>
        <w:rPr>
          <w:rFonts w:ascii="Times New Roman" w:hAnsi="Times New Roman"/>
          <w:sz w:val="28"/>
          <w:szCs w:val="28"/>
        </w:rPr>
        <w:t>В рамках своих полномочий проведена ежегодная оценка эффективности деятельности органов местного самоуправления городских округов и муниципальных районов в Камчатском крае, по результатам которой из краевого бюджета целях</w:t>
      </w:r>
      <w:r>
        <w:rPr>
          <w:rFonts w:ascii="Times New Roman" w:hAnsi="Times New Roman"/>
          <w:sz w:val="28"/>
          <w:szCs w:val="28"/>
        </w:rPr>
        <w:t xml:space="preserve"> содействия достижению и (или) поощрения достижения наилучших значений показателей деятельности органов местного самоуправления предоставлены гранты бюджетам всех муниципальных образований Корякского округа.</w:t>
      </w:r>
    </w:p>
    <w:p w:rsidR="00583DA6" w:rsidRDefault="006A45D9">
      <w:pPr>
        <w:pStyle w:val="aff2"/>
        <w:ind w:left="0" w:firstLine="709"/>
        <w:jc w:val="both"/>
        <w:rPr>
          <w:rFonts w:ascii="Times New Roman" w:hAnsi="Times New Roman"/>
          <w:sz w:val="28"/>
          <w:szCs w:val="28"/>
        </w:rPr>
      </w:pPr>
      <w:r>
        <w:rPr>
          <w:rFonts w:ascii="Times New Roman" w:hAnsi="Times New Roman"/>
          <w:sz w:val="28"/>
          <w:szCs w:val="28"/>
        </w:rPr>
        <w:t>Осуществлена деятельность «выездных бригад» в му</w:t>
      </w:r>
      <w:r>
        <w:rPr>
          <w:rFonts w:ascii="Times New Roman" w:hAnsi="Times New Roman"/>
          <w:sz w:val="28"/>
          <w:szCs w:val="28"/>
        </w:rPr>
        <w:t>ниципальных районах Корякского округа. Проект позволяет предоставить государственные услуги и государственные функции более 14 тысячам человек отдаленных населенных пунктов края.</w:t>
      </w:r>
    </w:p>
    <w:p w:rsidR="00583DA6" w:rsidRDefault="006A45D9">
      <w:pPr>
        <w:pStyle w:val="aff2"/>
        <w:ind w:left="0" w:firstLine="709"/>
        <w:jc w:val="both"/>
        <w:rPr>
          <w:rFonts w:ascii="Times New Roman" w:hAnsi="Times New Roman"/>
          <w:sz w:val="28"/>
          <w:szCs w:val="28"/>
        </w:rPr>
      </w:pPr>
      <w:r>
        <w:rPr>
          <w:rFonts w:ascii="Times New Roman" w:hAnsi="Times New Roman"/>
          <w:sz w:val="28"/>
          <w:szCs w:val="28"/>
        </w:rPr>
        <w:t>Оказана финансовая помощь местным бюджетам в части организации ими ритуальных</w:t>
      </w:r>
      <w:r>
        <w:rPr>
          <w:rFonts w:ascii="Times New Roman" w:hAnsi="Times New Roman"/>
          <w:sz w:val="28"/>
          <w:szCs w:val="28"/>
        </w:rPr>
        <w:t xml:space="preserve"> услуг, связанных с перевозкой тел (останков) умерших или погибших на территории муниципальных образований Корякского округа в ближайшие, имеющие авиатранспортную доступность, места проведения патологоанатомического вскрытия и обратно.</w:t>
      </w:r>
    </w:p>
    <w:p w:rsidR="00583DA6" w:rsidRDefault="006A45D9">
      <w:pPr>
        <w:pStyle w:val="aff2"/>
        <w:ind w:left="0" w:firstLine="709"/>
        <w:jc w:val="both"/>
        <w:rPr>
          <w:rFonts w:ascii="Times New Roman" w:hAnsi="Times New Roman"/>
          <w:sz w:val="28"/>
          <w:szCs w:val="28"/>
        </w:rPr>
      </w:pPr>
      <w:r>
        <w:rPr>
          <w:rFonts w:ascii="Times New Roman" w:hAnsi="Times New Roman"/>
          <w:sz w:val="28"/>
          <w:szCs w:val="28"/>
        </w:rPr>
        <w:t>На постоянной основе</w:t>
      </w:r>
      <w:r>
        <w:rPr>
          <w:rFonts w:ascii="Times New Roman" w:hAnsi="Times New Roman"/>
          <w:sz w:val="28"/>
          <w:szCs w:val="28"/>
        </w:rPr>
        <w:t xml:space="preserve"> проводится повышение уровня кадрового потенциала глав муниципальных образований.</w:t>
      </w:r>
    </w:p>
    <w:p w:rsidR="00583DA6" w:rsidRDefault="00583DA6">
      <w:pPr>
        <w:ind w:firstLine="709"/>
        <w:contextualSpacing/>
        <w:jc w:val="both"/>
        <w:rPr>
          <w:rFonts w:ascii="Times New Roman" w:eastAsia="Times New Roman" w:hAnsi="Times New Roman"/>
          <w:sz w:val="28"/>
          <w:szCs w:val="28"/>
          <w:lang w:eastAsia="ru-RU"/>
        </w:rPr>
      </w:pPr>
    </w:p>
    <w:p w:rsidR="00583DA6" w:rsidRDefault="006A45D9">
      <w:pPr>
        <w:pBdr>
          <w:top w:val="single" w:sz="18" w:space="1" w:color="000000"/>
        </w:pBdr>
        <w:ind w:firstLine="709"/>
        <w:jc w:val="both"/>
        <w:outlineLvl w:val="2"/>
        <w:rPr>
          <w:rFonts w:ascii="Times New Roman" w:eastAsia="Times New Roman" w:hAnsi="Times New Roman"/>
          <w:b/>
          <w:sz w:val="28"/>
          <w:szCs w:val="28"/>
          <w:lang w:eastAsia="ru-RU"/>
        </w:rPr>
      </w:pPr>
      <w:bookmarkStart w:id="20" w:name="_Toc132664209"/>
      <w:r>
        <w:rPr>
          <w:rFonts w:ascii="Times New Roman" w:eastAsia="Times New Roman" w:hAnsi="Times New Roman"/>
          <w:b/>
          <w:sz w:val="28"/>
          <w:szCs w:val="28"/>
          <w:lang w:eastAsia="ru-RU"/>
        </w:rPr>
        <w:t>Реализации инвестиционных мероприятий в рамках государственных программ Камчатского края</w:t>
      </w:r>
      <w:bookmarkEnd w:id="20"/>
    </w:p>
    <w:p w:rsidR="00583DA6" w:rsidRDefault="00583DA6">
      <w:pPr>
        <w:ind w:firstLine="709"/>
        <w:contextualSpacing/>
        <w:jc w:val="both"/>
        <w:rPr>
          <w:rFonts w:ascii="Times New Roman" w:eastAsia="Times New Roman" w:hAnsi="Times New Roman"/>
          <w:sz w:val="28"/>
          <w:szCs w:val="28"/>
          <w:lang w:eastAsia="ru-RU"/>
        </w:rPr>
      </w:pP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Реализация инвестиционных мероприятий в отчетном году осуществлялась в целях </w:t>
      </w:r>
      <w:r>
        <w:rPr>
          <w:rFonts w:ascii="Times New Roman" w:eastAsia="Times New Roman" w:hAnsi="Times New Roman"/>
          <w:sz w:val="28"/>
          <w:szCs w:val="28"/>
          <w:lang w:eastAsia="ru-RU"/>
        </w:rPr>
        <w:t>решения ключевых задач и достижения важнейших стратегических целей и приоритетов социально-экономического развития Камчатского края в среднесрочной перспективе, с учетом сохранения преемственности направлений инвестирования в предшествующие годы.</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В 2022 г</w:t>
      </w:r>
      <w:r>
        <w:rPr>
          <w:rFonts w:ascii="Times New Roman" w:eastAsia="Times New Roman" w:hAnsi="Times New Roman"/>
          <w:sz w:val="28"/>
          <w:szCs w:val="28"/>
          <w:lang w:eastAsia="ru-RU"/>
        </w:rPr>
        <w:t>оду в рамках 11 государственных программ Камчатского края восьмью главными распорядителями бюджетных средств реализовывались мероприятия Инвестиционной программы Камчатского края.</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Реализация инвестиционных мероприятий осуществлялась в рамках следующих гос</w:t>
      </w:r>
      <w:r>
        <w:rPr>
          <w:rFonts w:ascii="Times New Roman" w:eastAsia="Times New Roman" w:hAnsi="Times New Roman"/>
          <w:sz w:val="28"/>
          <w:szCs w:val="28"/>
          <w:lang w:eastAsia="ru-RU"/>
        </w:rPr>
        <w:t>ударственных программ Камчатского края:</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Развитие здравоохранения Камчатского края;</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Развитие образования в Камчатском крае;</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Развитие культуры в Камчатском крае;</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Социальная поддержка граждан в Камчатском крае;</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Развитие физической культуры и спорта </w:t>
      </w:r>
      <w:r>
        <w:rPr>
          <w:rFonts w:ascii="Times New Roman" w:eastAsia="Times New Roman" w:hAnsi="Times New Roman"/>
          <w:sz w:val="28"/>
          <w:szCs w:val="28"/>
          <w:lang w:eastAsia="ru-RU"/>
        </w:rPr>
        <w:t>в Камчатском крае;</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Обеспечение доступным и комфортным жильем жителей Камчатского края;</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Энергоэффективность, развитие энергетики и коммунального хозяйства, обеспечение жителей населенных пунктов Камчатского края коммунальными услугами;</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Развитие трансп</w:t>
      </w:r>
      <w:r>
        <w:rPr>
          <w:rFonts w:ascii="Times New Roman" w:eastAsia="Times New Roman" w:hAnsi="Times New Roman"/>
          <w:sz w:val="28"/>
          <w:szCs w:val="28"/>
          <w:lang w:eastAsia="ru-RU"/>
        </w:rPr>
        <w:t>ортной системы в Камчатском края;</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Социальное и экономическое развитие территории с особым статусом «Корякский округ»;</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Комплексное развитие сельских территорий Камчатского края;</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Охрана окружающей среды, воспроизводство и использование природных ресурс</w:t>
      </w:r>
      <w:r>
        <w:rPr>
          <w:rFonts w:ascii="Times New Roman" w:eastAsia="Times New Roman" w:hAnsi="Times New Roman"/>
          <w:sz w:val="28"/>
          <w:szCs w:val="28"/>
          <w:lang w:eastAsia="ru-RU"/>
        </w:rPr>
        <w:t>ов в Камчатском крае.</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За отчетный период на основании предложений исполнительных органов Камчатского края 10 раз вносились изменения в Инвестиционную программу Камчатского края. </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Объем финансового обеспечения за счет всех источников на реализацию инвести</w:t>
      </w:r>
      <w:r>
        <w:rPr>
          <w:rFonts w:ascii="Times New Roman" w:eastAsia="Times New Roman" w:hAnsi="Times New Roman"/>
          <w:sz w:val="28"/>
          <w:szCs w:val="28"/>
          <w:lang w:eastAsia="ru-RU"/>
        </w:rPr>
        <w:t>ционных мероприятий составил 14,9 млрд рублей, в том числе за счет средств краевого бюджета – 3,8 млрд рублей (25,9 %) и федерального бюджета – 9,7 млрд рублей (65,3 %), за счет Фонда содействия реформированию ЖКХ – 1,2 млрд рублей (63,7%).</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Фактический об</w:t>
      </w:r>
      <w:r>
        <w:rPr>
          <w:rFonts w:ascii="Times New Roman" w:eastAsia="Times New Roman" w:hAnsi="Times New Roman"/>
          <w:sz w:val="28"/>
          <w:szCs w:val="28"/>
          <w:lang w:eastAsia="ru-RU"/>
        </w:rPr>
        <w:t>ъем финансирования в отчетном периоде составил 13,2 млрд рублей или 88,5 % от предусмотренного объема, в том числе за счет средств краевого бюджета 3,3 млрд рублей (86,1 %) и федерального бюджета – 9,0 млрд рублей (92,2 %), за счет Фонда содействия реформи</w:t>
      </w:r>
      <w:r>
        <w:rPr>
          <w:rFonts w:ascii="Times New Roman" w:eastAsia="Times New Roman" w:hAnsi="Times New Roman"/>
          <w:sz w:val="28"/>
          <w:szCs w:val="28"/>
          <w:lang w:eastAsia="ru-RU"/>
        </w:rPr>
        <w:t>рованию ЖКХ – 0,7 млрд рублей (7,8 %).</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По состоянию на 01.01.2023 года освоение составило 13,1 млрд рублей (87,6 % от предусмотренного объема), в том числе за счет средств краевого бюджета 3,3 млрд. рублей (86,1 %) и федерального бюджета – 8,9 млрд. рубле</w:t>
      </w:r>
      <w:r>
        <w:rPr>
          <w:rFonts w:ascii="Times New Roman" w:eastAsia="Times New Roman" w:hAnsi="Times New Roman"/>
          <w:sz w:val="28"/>
          <w:szCs w:val="28"/>
          <w:lang w:eastAsia="ru-RU"/>
        </w:rPr>
        <w:t>й (90,9 %), за счет Фонда содействия реформированию ЖКХ – 0,7 млрд рублей (63,3 %).</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В целом, по итогам года освоение по главным распорядителям бюджетных средств составило:</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Министерство сельского хозяйства, пищевой и перерабатывающей промышленности Камч</w:t>
      </w:r>
      <w:r>
        <w:rPr>
          <w:rFonts w:ascii="Times New Roman" w:eastAsia="Times New Roman" w:hAnsi="Times New Roman"/>
          <w:sz w:val="28"/>
          <w:szCs w:val="28"/>
          <w:lang w:eastAsia="ru-RU"/>
        </w:rPr>
        <w:t>атского края – за счет всех источников финансирования – 100 %, за счет средств краевого бюджета – 100 %;</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Министерство имущественных и земельных отношений Камчатского края – за счет всех источников финансирования – 100 %, за счет средств краевого бюджета</w:t>
      </w:r>
      <w:r>
        <w:rPr>
          <w:rFonts w:ascii="Times New Roman" w:eastAsia="Times New Roman" w:hAnsi="Times New Roman"/>
          <w:sz w:val="28"/>
          <w:szCs w:val="28"/>
          <w:lang w:eastAsia="ru-RU"/>
        </w:rPr>
        <w:t xml:space="preserve"> – 100 %;</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Министерство природных ресурсов и экологии Камчатского края – за счет всех источников финансирования – 100 %, за счет средств краевого бюджета – 100 %;</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Министерство образования Камчатского края – за счет всех источников финансирования – 99,</w:t>
      </w:r>
      <w:r>
        <w:rPr>
          <w:rFonts w:ascii="Times New Roman" w:eastAsia="Times New Roman" w:hAnsi="Times New Roman"/>
          <w:sz w:val="28"/>
          <w:szCs w:val="28"/>
          <w:lang w:eastAsia="ru-RU"/>
        </w:rPr>
        <w:t>9 %, за счет средств краевого бюджета – 100 %;</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Министерство спорта Камчатского края – за счет всех источников финансирования – 99,9 %, за счет средств краевого бюджета – 99,9 %;</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Министерство жилищно-коммунального хозяйства и энергетики Камчатского </w:t>
      </w:r>
      <w:r>
        <w:rPr>
          <w:rFonts w:ascii="Times New Roman" w:eastAsia="Times New Roman" w:hAnsi="Times New Roman"/>
          <w:sz w:val="28"/>
          <w:szCs w:val="28"/>
          <w:lang w:eastAsia="ru-RU"/>
        </w:rPr>
        <w:t>края – за счет всех источников финансирования – 99,6 %, за счет средств краевого бюджета – 99,4 %;</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Министерство транспорта и дорожного строительства Камчатского края – за счет всех источников финансирования – 95,6 %, за счет средств краевого бюджета – 9</w:t>
      </w:r>
      <w:r>
        <w:rPr>
          <w:rFonts w:ascii="Times New Roman" w:eastAsia="Times New Roman" w:hAnsi="Times New Roman"/>
          <w:sz w:val="28"/>
          <w:szCs w:val="28"/>
          <w:lang w:eastAsia="ru-RU"/>
        </w:rPr>
        <w:t>2,2 %;</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Министерство строительства и жилищной политики Камчатского края – за счет всех источников финансирования – 79,9 %, за счет средств краевого бюджета – 82,1 %.</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Однако следует указать, что такие результаты у трех главных распорядителей бюджетных сре</w:t>
      </w:r>
      <w:r>
        <w:rPr>
          <w:rFonts w:ascii="Times New Roman" w:eastAsia="Times New Roman" w:hAnsi="Times New Roman"/>
          <w:sz w:val="28"/>
          <w:szCs w:val="28"/>
          <w:lang w:eastAsia="ru-RU"/>
        </w:rPr>
        <w:t>дств получились лишь потому, что последним изменением в Инвестиционную программу Камчатского края оптимизированы средства краевого бюджета на сумму 356,1 млн рублей, а ряд мероприятий и вовсе удалены из Инвестиционной программы. Так по предложению Министер</w:t>
      </w:r>
      <w:r>
        <w:rPr>
          <w:rFonts w:ascii="Times New Roman" w:eastAsia="Times New Roman" w:hAnsi="Times New Roman"/>
          <w:sz w:val="28"/>
          <w:szCs w:val="28"/>
          <w:lang w:eastAsia="ru-RU"/>
        </w:rPr>
        <w:t>ства жилищно-коммунального хозяйства и энергетики Камчатского края оптимизированы средства краевого бюджета в полном объеме пяти мероприятий в связи с неисполнением обязательств подрядными организациями по заключенным контрактам перед КГУП «Камчатский водо</w:t>
      </w:r>
      <w:r>
        <w:rPr>
          <w:rFonts w:ascii="Times New Roman" w:eastAsia="Times New Roman" w:hAnsi="Times New Roman"/>
          <w:sz w:val="28"/>
          <w:szCs w:val="28"/>
          <w:lang w:eastAsia="ru-RU"/>
        </w:rPr>
        <w:t>канал» и одного мероприятия в связи с отсутствием возможности авансирования по мероприятию по причине непредставления со стороны подрядчика ООО «Трест» банковской гарантии. Министерством транспорта и дорожного строительства Камчатского края инициирована оп</w:t>
      </w:r>
      <w:r>
        <w:rPr>
          <w:rFonts w:ascii="Times New Roman" w:eastAsia="Times New Roman" w:hAnsi="Times New Roman"/>
          <w:sz w:val="28"/>
          <w:szCs w:val="28"/>
          <w:lang w:eastAsia="ru-RU"/>
        </w:rPr>
        <w:t>тимизация мероприятия «Строительство причальных сооружений через протоку Озерная в Усть-Камчатском районе Камчатского края» в связи с тем, что подрядчик не предоставил обеспечение исполнения контракта. Министерством строительства и жилищной политики Камчат</w:t>
      </w:r>
      <w:r>
        <w:rPr>
          <w:rFonts w:ascii="Times New Roman" w:eastAsia="Times New Roman" w:hAnsi="Times New Roman"/>
          <w:sz w:val="28"/>
          <w:szCs w:val="28"/>
          <w:lang w:eastAsia="ru-RU"/>
        </w:rPr>
        <w:t>ского края оптимизирована часть средств краевого бюджета по мероприятиям Государственной программы Камчатского края «Развитие здравоохранения Камчатского края» в связи с экономией по результатам проведения конкурсных процедур, продлением на 2023 год госуда</w:t>
      </w:r>
      <w:r>
        <w:rPr>
          <w:rFonts w:ascii="Times New Roman" w:eastAsia="Times New Roman" w:hAnsi="Times New Roman"/>
          <w:sz w:val="28"/>
          <w:szCs w:val="28"/>
          <w:lang w:eastAsia="ru-RU"/>
        </w:rPr>
        <w:t>рственной экспертизы проектной документации, а также необходимостью перераспределения ассигнований на реализацию других мероприятий.</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 прежнему актуальным для краевых государственных заказчиков (исполнительных органов) и муниципальных заказчиков является </w:t>
      </w:r>
      <w:r>
        <w:rPr>
          <w:rFonts w:ascii="Times New Roman" w:eastAsia="Times New Roman" w:hAnsi="Times New Roman"/>
          <w:sz w:val="28"/>
          <w:szCs w:val="28"/>
          <w:lang w:eastAsia="ru-RU"/>
        </w:rPr>
        <w:t>своевременность проведения тендерных процедур при наличии финансирования.</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Ответственными исполнителями (не являющимися главными распорядителями бюджетных средств) не в полной мере осуществлялся мониторинг инвестиционных мероприятий, реализуемых в рамках го</w:t>
      </w:r>
      <w:r>
        <w:rPr>
          <w:rFonts w:ascii="Times New Roman" w:eastAsia="Times New Roman" w:hAnsi="Times New Roman"/>
          <w:sz w:val="28"/>
          <w:szCs w:val="28"/>
          <w:lang w:eastAsia="ru-RU"/>
        </w:rPr>
        <w:t>сударственных программ Камчатского края. По ряду объектов заказчиками несвоевременно принимались организационные меры, связанные с неисполнением контрактных обязательств подрядчиками в части нарушения календарных сроков строительства (выполнения работ).</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Все озвученные проблемы носят организационный характер и возникают в силу недостаточной предварительной и подготовительной работы по инвестиционным мероприятиям. </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рамках Инвестиционной программы Камчатского края в 2022 году:</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Pr>
          <w:rFonts w:ascii="Times New Roman" w:eastAsia="Times New Roman" w:hAnsi="Times New Roman"/>
          <w:sz w:val="28"/>
          <w:szCs w:val="28"/>
          <w:lang w:eastAsia="ru-RU"/>
        </w:rPr>
        <w:tab/>
        <w:t>завершено строительство Общ</w:t>
      </w:r>
      <w:r>
        <w:rPr>
          <w:rFonts w:ascii="Times New Roman" w:eastAsia="Times New Roman" w:hAnsi="Times New Roman"/>
          <w:sz w:val="28"/>
          <w:szCs w:val="28"/>
          <w:lang w:eastAsia="ru-RU"/>
        </w:rPr>
        <w:t>еобразовательной школы по проспекту Рыбаков в г. Петропавловск-Камчатский, мощность объекта – 650 мест, по информации Минстроя Камчатского края 27.10.2022 получено Разрешение на ввод объекта в эксплуатацию;</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Pr>
          <w:rFonts w:ascii="Times New Roman" w:eastAsia="Times New Roman" w:hAnsi="Times New Roman"/>
          <w:sz w:val="28"/>
          <w:szCs w:val="28"/>
          <w:lang w:eastAsia="ru-RU"/>
        </w:rPr>
        <w:tab/>
        <w:t>введен в эксплуатацию Детский сад в жилом район</w:t>
      </w:r>
      <w:r>
        <w:rPr>
          <w:rFonts w:ascii="Times New Roman" w:eastAsia="Times New Roman" w:hAnsi="Times New Roman"/>
          <w:sz w:val="28"/>
          <w:szCs w:val="28"/>
          <w:lang w:eastAsia="ru-RU"/>
        </w:rPr>
        <w:t>е Рыбачий в г. Вилючинск на 260 мест;</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Pr>
          <w:rFonts w:ascii="Times New Roman" w:eastAsia="Times New Roman" w:hAnsi="Times New Roman"/>
          <w:sz w:val="28"/>
          <w:szCs w:val="28"/>
          <w:lang w:eastAsia="ru-RU"/>
        </w:rPr>
        <w:tab/>
        <w:t>завершена реализация мероприятия «Реконструкция инфраструктуры горнолыжного комплекса Камчатского края. 2-ая очередь. Горнолыжная база «Эдельвейс», г. Петропавловск-Камчатский. Строительство системы искусственного сн</w:t>
      </w:r>
      <w:r>
        <w:rPr>
          <w:rFonts w:ascii="Times New Roman" w:eastAsia="Times New Roman" w:hAnsi="Times New Roman"/>
          <w:sz w:val="28"/>
          <w:szCs w:val="28"/>
          <w:lang w:eastAsia="ru-RU"/>
        </w:rPr>
        <w:t>егообразования и системы искусственного освещения трасс, строительство скоростной канатной дороги гондольного типа и буксировочных канатных дорог. Строительство СИС – система искусственного снегообразования», 29.12.2022, получено разрешение на ввод объекта</w:t>
      </w:r>
      <w:r>
        <w:rPr>
          <w:rFonts w:ascii="Times New Roman" w:eastAsia="Times New Roman" w:hAnsi="Times New Roman"/>
          <w:sz w:val="28"/>
          <w:szCs w:val="28"/>
          <w:lang w:eastAsia="ru-RU"/>
        </w:rPr>
        <w:t xml:space="preserve"> в эксплуатацию;</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Pr>
          <w:rFonts w:ascii="Times New Roman" w:eastAsia="Times New Roman" w:hAnsi="Times New Roman"/>
          <w:sz w:val="28"/>
          <w:szCs w:val="28"/>
          <w:lang w:eastAsia="ru-RU"/>
        </w:rPr>
        <w:tab/>
        <w:t>введен в эксплуатацию объект «Группа смешанной жилой застройки по улице Кутузова в Петропавловск-Камчатском городском округе», разрешение на ввод объекта в эксплуатацию от 28.06.2022 № ru41-301-000-17-2022;</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Pr>
          <w:rFonts w:ascii="Times New Roman" w:eastAsia="Times New Roman" w:hAnsi="Times New Roman"/>
          <w:sz w:val="28"/>
          <w:szCs w:val="28"/>
          <w:lang w:eastAsia="ru-RU"/>
        </w:rPr>
        <w:tab/>
        <w:t>введен в эксплуатацию объект</w:t>
      </w:r>
      <w:r>
        <w:rPr>
          <w:rFonts w:ascii="Times New Roman" w:eastAsia="Times New Roman" w:hAnsi="Times New Roman"/>
          <w:sz w:val="28"/>
          <w:szCs w:val="28"/>
          <w:lang w:eastAsia="ru-RU"/>
        </w:rPr>
        <w:t xml:space="preserve"> «Реконструкция автомобильной дороги Начикинский совхоз - Усть-Большерецк - п. Октябрьский с подъездом к пристани Косоево - колхоз им. Октябрьской революции 0 - 107,2 км на участке км 0 - км 5»;</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завершено строительство здания Дома культуры на 100 мест в </w:t>
      </w:r>
      <w:r>
        <w:rPr>
          <w:rFonts w:ascii="Times New Roman" w:eastAsia="Times New Roman" w:hAnsi="Times New Roman"/>
          <w:sz w:val="28"/>
          <w:szCs w:val="28"/>
          <w:lang w:eastAsia="ru-RU"/>
        </w:rPr>
        <w:t>поселке Лесной Новолесновского сельского поселения Елизовского муниципального района, объект введен в эксплуатацию.</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Основные инвестиционных мероприятия, реализация которых запланирована в рамках государственных программ, в следующие годы представлена испол</w:t>
      </w:r>
      <w:r>
        <w:rPr>
          <w:rFonts w:ascii="Times New Roman" w:eastAsia="Times New Roman" w:hAnsi="Times New Roman"/>
          <w:sz w:val="28"/>
          <w:szCs w:val="28"/>
          <w:lang w:eastAsia="ru-RU"/>
        </w:rPr>
        <w:t>нительными органами Камчатского края – главными распорядителями бюджетных средств:</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рамках государственной программы Камчатского края «Развитие здравоохранения Камчатского края»: </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Pr>
          <w:rFonts w:ascii="Times New Roman" w:eastAsia="Times New Roman" w:hAnsi="Times New Roman"/>
          <w:sz w:val="28"/>
          <w:szCs w:val="28"/>
          <w:lang w:eastAsia="ru-RU"/>
        </w:rPr>
        <w:tab/>
        <w:t>продолжилось строительство объекта «Камчатская краевая больница» техничес</w:t>
      </w:r>
      <w:r>
        <w:rPr>
          <w:rFonts w:ascii="Times New Roman" w:eastAsia="Times New Roman" w:hAnsi="Times New Roman"/>
          <w:sz w:val="28"/>
          <w:szCs w:val="28"/>
          <w:lang w:eastAsia="ru-RU"/>
        </w:rPr>
        <w:t>кая готовность объекта на отчетную дату составила 39,4 %;</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Pr>
          <w:rFonts w:ascii="Times New Roman" w:eastAsia="Times New Roman" w:hAnsi="Times New Roman"/>
          <w:sz w:val="28"/>
          <w:szCs w:val="28"/>
          <w:lang w:eastAsia="ru-RU"/>
        </w:rPr>
        <w:tab/>
        <w:t>велось строительство Фельдшерско-акушерского пункта в п. Березняки Елизовского муниципального района, мощность объекта – 20 посещений в смену. Распоряжением от 30.06.2022 № 401-РП срок строительст</w:t>
      </w:r>
      <w:r>
        <w:rPr>
          <w:rFonts w:ascii="Times New Roman" w:eastAsia="Times New Roman" w:hAnsi="Times New Roman"/>
          <w:sz w:val="28"/>
          <w:szCs w:val="28"/>
          <w:lang w:eastAsia="ru-RU"/>
        </w:rPr>
        <w:t>ва продлен до 01.08.2023;</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Pr>
          <w:rFonts w:ascii="Times New Roman" w:eastAsia="Times New Roman" w:hAnsi="Times New Roman"/>
          <w:sz w:val="28"/>
          <w:szCs w:val="28"/>
          <w:lang w:eastAsia="ru-RU"/>
        </w:rPr>
        <w:tab/>
        <w:t>в отчетном году началось строительство Фельдшерско-акушерского пункта п. Новый Елизовского муниципального района, мощность объекта – 20 посещений в смену. Срок строительства продлен до 30.06.2023 в связи с проведением корректиро</w:t>
      </w:r>
      <w:r>
        <w:rPr>
          <w:rFonts w:ascii="Times New Roman" w:eastAsia="Times New Roman" w:hAnsi="Times New Roman"/>
          <w:sz w:val="28"/>
          <w:szCs w:val="28"/>
          <w:lang w:eastAsia="ru-RU"/>
        </w:rPr>
        <w:t>вки проектной документации в части водоотведения грунтовых вод вследствие выявления подтоплений;</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Pr>
          <w:rFonts w:ascii="Times New Roman" w:eastAsia="Times New Roman" w:hAnsi="Times New Roman"/>
          <w:sz w:val="28"/>
          <w:szCs w:val="28"/>
          <w:lang w:eastAsia="ru-RU"/>
        </w:rPr>
        <w:tab/>
        <w:t>в рамках регионального проекта «Модернизация первичного звена здравоохранения Камчатского края» реализовывались мероприятия на проектные и строительные работ</w:t>
      </w:r>
      <w:r>
        <w:rPr>
          <w:rFonts w:ascii="Times New Roman" w:eastAsia="Times New Roman" w:hAnsi="Times New Roman"/>
          <w:sz w:val="28"/>
          <w:szCs w:val="28"/>
          <w:lang w:eastAsia="ru-RU"/>
        </w:rPr>
        <w:t>ы по 10 объектам (фельдшерско-акушерские пункты, офисы врача общей практики и районные больницы).</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рамках государственной программы Камчатского края «Развитие образования в Камчатском крае»: </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Pr>
          <w:rFonts w:ascii="Times New Roman" w:eastAsia="Times New Roman" w:hAnsi="Times New Roman"/>
          <w:sz w:val="28"/>
          <w:szCs w:val="28"/>
          <w:lang w:eastAsia="ru-RU"/>
        </w:rPr>
        <w:tab/>
        <w:t>велось строительство Средней общеобразовательной школы в с. К</w:t>
      </w:r>
      <w:r>
        <w:rPr>
          <w:rFonts w:ascii="Times New Roman" w:eastAsia="Times New Roman" w:hAnsi="Times New Roman"/>
          <w:sz w:val="28"/>
          <w:szCs w:val="28"/>
          <w:lang w:eastAsia="ru-RU"/>
        </w:rPr>
        <w:t>авалерское Усть-Большерецкого района на 90 мест, срок строительства 04.12.2023. По информации Минстроя Камчатского края по объекту получено положительное заключение государственной экспертизы, техническая готовность объекта – 54,8 %;</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Pr>
          <w:rFonts w:ascii="Times New Roman" w:eastAsia="Times New Roman" w:hAnsi="Times New Roman"/>
          <w:sz w:val="28"/>
          <w:szCs w:val="28"/>
          <w:lang w:eastAsia="ru-RU"/>
        </w:rPr>
        <w:tab/>
        <w:t>началось строительст</w:t>
      </w:r>
      <w:r>
        <w:rPr>
          <w:rFonts w:ascii="Times New Roman" w:eastAsia="Times New Roman" w:hAnsi="Times New Roman"/>
          <w:sz w:val="28"/>
          <w:szCs w:val="28"/>
          <w:lang w:eastAsia="ru-RU"/>
        </w:rPr>
        <w:t>во Средней школы № 40 по ул. Вольского микрорайона «Северо-Восток» в г. Петропавловске-Камчатском на 500 мест со сроком исполнения до 04.12.2024;</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Pr>
          <w:rFonts w:ascii="Times New Roman" w:eastAsia="Times New Roman" w:hAnsi="Times New Roman"/>
          <w:sz w:val="28"/>
          <w:szCs w:val="28"/>
          <w:lang w:eastAsia="ru-RU"/>
        </w:rPr>
        <w:tab/>
        <w:t>началось строительство Детского сада по ул. Вилюйская, 60 в г. Петропавловске-Камчатском на 160 мест, стоимо</w:t>
      </w:r>
      <w:r>
        <w:rPr>
          <w:rFonts w:ascii="Times New Roman" w:eastAsia="Times New Roman" w:hAnsi="Times New Roman"/>
          <w:sz w:val="28"/>
          <w:szCs w:val="28"/>
          <w:lang w:eastAsia="ru-RU"/>
        </w:rPr>
        <w:t>сть работ по контракту 611 949,91 тыс. рублей, срок выполнения работ 30.11.2023. По информации Министерства образования Камчатского края строительство ведется в соответствии с графиком;</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рамках государственной программы Камчатского края «Развитие культуры</w:t>
      </w:r>
      <w:r>
        <w:rPr>
          <w:rFonts w:ascii="Times New Roman" w:eastAsia="Times New Roman" w:hAnsi="Times New Roman"/>
          <w:sz w:val="28"/>
          <w:szCs w:val="28"/>
          <w:lang w:eastAsia="ru-RU"/>
        </w:rPr>
        <w:t xml:space="preserve"> в Камчатском крае»: </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Pr>
          <w:rFonts w:ascii="Times New Roman" w:eastAsia="Times New Roman" w:hAnsi="Times New Roman"/>
          <w:sz w:val="28"/>
          <w:szCs w:val="28"/>
          <w:lang w:eastAsia="ru-RU"/>
        </w:rPr>
        <w:tab/>
        <w:t>продолжилось строительство Камчатского театра кукол г. Петропавловск-Камчатский на 350 мест, заключен контракт с единственным поставщиком ООО «Трест» от 29.04.2022 № 28/22-ГК на завершение строительства, срок выполнения работ 01.12.</w:t>
      </w:r>
      <w:r>
        <w:rPr>
          <w:rFonts w:ascii="Times New Roman" w:eastAsia="Times New Roman" w:hAnsi="Times New Roman"/>
          <w:sz w:val="28"/>
          <w:szCs w:val="28"/>
          <w:lang w:eastAsia="ru-RU"/>
        </w:rPr>
        <w:t>2024.</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рамках государственной программы Камчатского края «Развитие физической культуры и спорта в Камчатском крае»: </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Pr>
          <w:rFonts w:ascii="Times New Roman" w:eastAsia="Times New Roman" w:hAnsi="Times New Roman"/>
          <w:sz w:val="28"/>
          <w:szCs w:val="28"/>
          <w:lang w:eastAsia="ru-RU"/>
        </w:rPr>
        <w:tab/>
        <w:t xml:space="preserve">велись строительно-монтажные работы спортивного зала единоборств в г. Елизово. Срок окончания работ по контракту – 10.06.2023. По </w:t>
      </w:r>
      <w:r>
        <w:rPr>
          <w:rFonts w:ascii="Times New Roman" w:eastAsia="Times New Roman" w:hAnsi="Times New Roman"/>
          <w:sz w:val="28"/>
          <w:szCs w:val="28"/>
          <w:lang w:eastAsia="ru-RU"/>
        </w:rPr>
        <w:t>информации Министерства спорта Камчатского края техническая готовность объекта – 87 %;</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рамках государственной программы Камчатского края «Обеспечение доступным и комфортным жильем жителей Камчатского края» </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Pr>
          <w:rFonts w:ascii="Times New Roman" w:eastAsia="Times New Roman" w:hAnsi="Times New Roman"/>
          <w:sz w:val="28"/>
          <w:szCs w:val="28"/>
          <w:lang w:eastAsia="ru-RU"/>
        </w:rPr>
        <w:tab/>
        <w:t>продолжилось строительство Комплекса многоква</w:t>
      </w:r>
      <w:r>
        <w:rPr>
          <w:rFonts w:ascii="Times New Roman" w:eastAsia="Times New Roman" w:hAnsi="Times New Roman"/>
          <w:sz w:val="28"/>
          <w:szCs w:val="28"/>
          <w:lang w:eastAsia="ru-RU"/>
        </w:rPr>
        <w:t>ртирных жилых домов в жилом районе Приморский города Вилючинска, строительство поэтапное, в текущем году ведутся работы третьего этапа, 26.11.2021 с ООО «ХОРС» заключен государственный контракт № 94/21-ГК, срок выполнения работ по контракту 04.12.2023, мощ</w:t>
      </w:r>
      <w:r>
        <w:rPr>
          <w:rFonts w:ascii="Times New Roman" w:eastAsia="Times New Roman" w:hAnsi="Times New Roman"/>
          <w:sz w:val="28"/>
          <w:szCs w:val="28"/>
          <w:lang w:eastAsia="ru-RU"/>
        </w:rPr>
        <w:t xml:space="preserve">ность объекта – 270 квартир, по информации Минстроя Камчатского края техническая готовность 3-го этапа – 26,2 %; </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Pr>
          <w:rFonts w:ascii="Times New Roman" w:eastAsia="Times New Roman" w:hAnsi="Times New Roman"/>
          <w:sz w:val="28"/>
          <w:szCs w:val="28"/>
          <w:lang w:eastAsia="ru-RU"/>
        </w:rPr>
        <w:tab/>
        <w:t>продолжилась реализация мероприятий по переселению граждан из аварийного жилищного фонда в соответствии с жилищным законодательством в рамка</w:t>
      </w:r>
      <w:r>
        <w:rPr>
          <w:rFonts w:ascii="Times New Roman" w:eastAsia="Times New Roman" w:hAnsi="Times New Roman"/>
          <w:sz w:val="28"/>
          <w:szCs w:val="28"/>
          <w:lang w:eastAsia="ru-RU"/>
        </w:rPr>
        <w:t>х регионального проекта «Обеспечение устойчивого сокращения непригодного для проживания жилищного фонда».</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рамках государственной программы Камчатского края «Энергоэффективность, развитие энергетики и коммунального хозяйства, обеспечение жителей населенны</w:t>
      </w:r>
      <w:r>
        <w:rPr>
          <w:rFonts w:ascii="Times New Roman" w:eastAsia="Times New Roman" w:hAnsi="Times New Roman"/>
          <w:sz w:val="28"/>
          <w:szCs w:val="28"/>
          <w:lang w:eastAsia="ru-RU"/>
        </w:rPr>
        <w:t xml:space="preserve">х пунктов Камчатского края коммунальными услугами» </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Pr>
          <w:rFonts w:ascii="Times New Roman" w:eastAsia="Times New Roman" w:hAnsi="Times New Roman"/>
          <w:sz w:val="28"/>
          <w:szCs w:val="28"/>
          <w:lang w:eastAsia="ru-RU"/>
        </w:rPr>
        <w:tab/>
        <w:t>в декабре отчетного года заключен контракт на реконструкцию котельной № 20 (ул. Деркачева) с передачей нагрузок котельной № 10 с учетом реконструкции тепловых сетей котельных, срок выполнения работ 30.1</w:t>
      </w:r>
      <w:r>
        <w:rPr>
          <w:rFonts w:ascii="Times New Roman" w:eastAsia="Times New Roman" w:hAnsi="Times New Roman"/>
          <w:sz w:val="28"/>
          <w:szCs w:val="28"/>
          <w:lang w:eastAsia="ru-RU"/>
        </w:rPr>
        <w:t>1.2023;</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Pr>
          <w:rFonts w:ascii="Times New Roman" w:eastAsia="Times New Roman" w:hAnsi="Times New Roman"/>
          <w:sz w:val="28"/>
          <w:szCs w:val="28"/>
          <w:lang w:eastAsia="ru-RU"/>
        </w:rPr>
        <w:tab/>
        <w:t>за счет привлечения инфраструктурных бюджетных кредитов реализовывалось мероприятие «Реконструкция системы водоотведения центральной части г. Петропавловска-Камчатского. Канализационная насосная станция КНС «Мехзавод», срок исполнения до 08.11.20</w:t>
      </w:r>
      <w:r>
        <w:rPr>
          <w:rFonts w:ascii="Times New Roman" w:eastAsia="Times New Roman" w:hAnsi="Times New Roman"/>
          <w:sz w:val="28"/>
          <w:szCs w:val="28"/>
          <w:lang w:eastAsia="ru-RU"/>
        </w:rPr>
        <w:t>23;</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Pr>
          <w:rFonts w:ascii="Times New Roman" w:eastAsia="Times New Roman" w:hAnsi="Times New Roman"/>
          <w:sz w:val="28"/>
          <w:szCs w:val="28"/>
          <w:lang w:eastAsia="ru-RU"/>
        </w:rPr>
        <w:tab/>
        <w:t>реализовывалось мероприятие «Реконструкция системы водоотведения Елизовского городского поселения. 1 Этап. Реконструкция КОС-29 км, строительство сливной станции», мощность объекта 1000 м3/сутки, срок выполнения работ по контракту 15.06.2023;</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Pr>
          <w:rFonts w:ascii="Times New Roman" w:eastAsia="Times New Roman" w:hAnsi="Times New Roman"/>
          <w:sz w:val="28"/>
          <w:szCs w:val="28"/>
          <w:lang w:eastAsia="ru-RU"/>
        </w:rPr>
        <w:tab/>
        <w:t>реали</w:t>
      </w:r>
      <w:r>
        <w:rPr>
          <w:rFonts w:ascii="Times New Roman" w:eastAsia="Times New Roman" w:hAnsi="Times New Roman"/>
          <w:sz w:val="28"/>
          <w:szCs w:val="28"/>
          <w:lang w:eastAsia="ru-RU"/>
        </w:rPr>
        <w:t>зовывалось мероприятия регионального проекта «Чистая вода» по реконструкции водовода от водозабора до пгт Палана и внутриплощадочных сетей водовода территории совхоза пгт Палана Тигильского муниципального района и реконструкции системы водоснабжения в п. К</w:t>
      </w:r>
      <w:r>
        <w:rPr>
          <w:rFonts w:ascii="Times New Roman" w:eastAsia="Times New Roman" w:hAnsi="Times New Roman"/>
          <w:sz w:val="28"/>
          <w:szCs w:val="28"/>
          <w:lang w:eastAsia="ru-RU"/>
        </w:rPr>
        <w:t>лючи Усть-Камчатского муниципального района.</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рамках государственной программы Камчатского края «Развитие транспортной системы в Камчатском крае»: </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Pr>
          <w:rFonts w:ascii="Times New Roman" w:eastAsia="Times New Roman" w:hAnsi="Times New Roman"/>
          <w:sz w:val="28"/>
          <w:szCs w:val="28"/>
          <w:lang w:eastAsia="ru-RU"/>
        </w:rPr>
        <w:tab/>
        <w:t xml:space="preserve">начато строительство автомобильной дороги общего пользования регионального значения Камчатского края «п. </w:t>
      </w:r>
      <w:r>
        <w:rPr>
          <w:rFonts w:ascii="Times New Roman" w:eastAsia="Times New Roman" w:hAnsi="Times New Roman"/>
          <w:sz w:val="28"/>
          <w:szCs w:val="28"/>
          <w:lang w:eastAsia="ru-RU"/>
        </w:rPr>
        <w:t>Термальный - туристский кластер «Три вулкана» протяженностью 32 км (этапы 1-3)». По информации Минтранса Камчатского края 17.10.2022 заключен госконтракт № 48 Подрядчик ООО «Устой-М».  Выплачен аванс подрядной организации;</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Pr>
          <w:rFonts w:ascii="Times New Roman" w:eastAsia="Times New Roman" w:hAnsi="Times New Roman"/>
          <w:sz w:val="28"/>
          <w:szCs w:val="28"/>
          <w:lang w:eastAsia="ru-RU"/>
        </w:rPr>
        <w:tab/>
        <w:t>реализовывалось мероприятие «Ст</w:t>
      </w:r>
      <w:r>
        <w:rPr>
          <w:rFonts w:ascii="Times New Roman" w:eastAsia="Times New Roman" w:hAnsi="Times New Roman"/>
          <w:sz w:val="28"/>
          <w:szCs w:val="28"/>
          <w:lang w:eastAsia="ru-RU"/>
        </w:rPr>
        <w:t>роительство подъезда к проектируемому аэровокзалу в г.Елизово от автомобильной дороги А-401 «Подъездная дорога от морского порта Петропавловск-Камчатский к аэропорту Петропавловск-Камчатский на участке 34».  Государственный контракт заключен с ООО «Устой-М</w:t>
      </w:r>
      <w:r>
        <w:rPr>
          <w:rFonts w:ascii="Times New Roman" w:eastAsia="Times New Roman" w:hAnsi="Times New Roman"/>
          <w:sz w:val="28"/>
          <w:szCs w:val="28"/>
          <w:lang w:eastAsia="ru-RU"/>
        </w:rPr>
        <w:t>», срок выполнения работ - 30.11.2023. По информации Минтранса Камчатского края заключено соглашение об установлении сервитута в отношении части земельного участка, выполнены работы по созданию геодезической разбивочной основы на объекте, работы по контрак</w:t>
      </w:r>
      <w:r>
        <w:rPr>
          <w:rFonts w:ascii="Times New Roman" w:eastAsia="Times New Roman" w:hAnsi="Times New Roman"/>
          <w:sz w:val="28"/>
          <w:szCs w:val="28"/>
          <w:lang w:eastAsia="ru-RU"/>
        </w:rPr>
        <w:t>ту выполняются в срок, техническая готовность – 48 %;</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Pr>
          <w:rFonts w:ascii="Times New Roman" w:eastAsia="Times New Roman" w:hAnsi="Times New Roman"/>
          <w:sz w:val="28"/>
          <w:szCs w:val="28"/>
          <w:lang w:eastAsia="ru-RU"/>
        </w:rPr>
        <w:tab/>
        <w:t>проводилась реконструкция автомобильной дороги Петропавловск-Камчатский - Мильково 40 км - Пиначево с подъездом к п. Раздольный и к базе с/х Заречный на участке км 1 - км 16,4. Работы выполняются в дв</w:t>
      </w:r>
      <w:r>
        <w:rPr>
          <w:rFonts w:ascii="Times New Roman" w:eastAsia="Times New Roman" w:hAnsi="Times New Roman"/>
          <w:sz w:val="28"/>
          <w:szCs w:val="28"/>
          <w:lang w:eastAsia="ru-RU"/>
        </w:rPr>
        <w:t>а этапа, заключены государственные контракты с ООО «Устой-М», срок окончания работ – 31.10.2023;</w:t>
      </w:r>
    </w:p>
    <w:p w:rsidR="00583DA6" w:rsidRDefault="006A45D9">
      <w:pPr>
        <w:ind w:firstLine="709"/>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Pr>
          <w:rFonts w:ascii="Times New Roman" w:eastAsia="Times New Roman" w:hAnsi="Times New Roman"/>
          <w:sz w:val="28"/>
          <w:szCs w:val="28"/>
          <w:lang w:eastAsia="ru-RU"/>
        </w:rPr>
        <w:tab/>
        <w:t>в декабре отчетного года заключен государственный контракт на строительство Автомобильной дороги для резидента ООО «Соколиный центр «Камчатка», срок выполнен</w:t>
      </w:r>
      <w:r>
        <w:rPr>
          <w:rFonts w:ascii="Times New Roman" w:eastAsia="Times New Roman" w:hAnsi="Times New Roman"/>
          <w:sz w:val="28"/>
          <w:szCs w:val="28"/>
          <w:lang w:eastAsia="ru-RU"/>
        </w:rPr>
        <w:t>ия работ 30.04.2024.</w:t>
      </w:r>
    </w:p>
    <w:p w:rsidR="00583DA6" w:rsidRDefault="00583DA6">
      <w:pPr>
        <w:ind w:firstLine="709"/>
        <w:contextualSpacing/>
        <w:jc w:val="both"/>
        <w:rPr>
          <w:rFonts w:ascii="Times New Roman" w:eastAsia="Times New Roman" w:hAnsi="Times New Roman"/>
          <w:sz w:val="28"/>
          <w:szCs w:val="28"/>
          <w:lang w:eastAsia="ru-RU"/>
        </w:rPr>
      </w:pPr>
    </w:p>
    <w:p w:rsidR="00583DA6" w:rsidRDefault="006A45D9">
      <w:pPr>
        <w:pStyle w:val="aff2"/>
        <w:numPr>
          <w:ilvl w:val="0"/>
          <w:numId w:val="1"/>
        </w:numPr>
        <w:outlineLvl w:val="0"/>
        <w:rPr>
          <w:rFonts w:ascii="Times New Roman" w:hAnsi="Times New Roman"/>
          <w:b/>
          <w:sz w:val="28"/>
          <w:szCs w:val="28"/>
        </w:rPr>
      </w:pPr>
      <w:bookmarkStart w:id="21" w:name="_Toc132664210"/>
      <w:r>
        <w:rPr>
          <w:rFonts w:ascii="Times New Roman" w:hAnsi="Times New Roman"/>
          <w:b/>
          <w:sz w:val="28"/>
          <w:szCs w:val="28"/>
        </w:rPr>
        <w:t>Сведения о выполнении расходных обязательств Камчатского края, связанных с реализацией государственных программ Камчатского края</w:t>
      </w:r>
      <w:bookmarkEnd w:id="21"/>
    </w:p>
    <w:p w:rsidR="00583DA6" w:rsidRDefault="00583DA6">
      <w:pPr>
        <w:jc w:val="both"/>
        <w:rPr>
          <w:rFonts w:ascii="Times New Roman" w:hAnsi="Times New Roman"/>
          <w:sz w:val="28"/>
          <w:szCs w:val="28"/>
        </w:rPr>
      </w:pPr>
    </w:p>
    <w:p w:rsidR="00583DA6" w:rsidRDefault="006A45D9">
      <w:pPr>
        <w:ind w:firstLine="720"/>
        <w:jc w:val="both"/>
        <w:rPr>
          <w:rFonts w:ascii="Times New Roman" w:hAnsi="Times New Roman"/>
          <w:sz w:val="28"/>
          <w:szCs w:val="28"/>
        </w:rPr>
      </w:pPr>
      <w:r>
        <w:rPr>
          <w:rFonts w:ascii="Times New Roman" w:hAnsi="Times New Roman"/>
          <w:sz w:val="28"/>
          <w:szCs w:val="28"/>
        </w:rPr>
        <w:t xml:space="preserve">Всего по государственным программам Камчатского края освоение </w:t>
      </w:r>
      <w:r>
        <w:rPr>
          <w:rFonts w:ascii="Times New Roman" w:hAnsi="Times New Roman"/>
          <w:b/>
          <w:sz w:val="28"/>
          <w:szCs w:val="28"/>
        </w:rPr>
        <w:t>средств краевого бюджета</w:t>
      </w:r>
      <w:r>
        <w:rPr>
          <w:rFonts w:ascii="Times New Roman" w:hAnsi="Times New Roman"/>
          <w:sz w:val="28"/>
          <w:szCs w:val="28"/>
        </w:rPr>
        <w:t xml:space="preserve"> составило 99,9% (в 2021 году освоение – 96,85%, в 2020 – 97,9%). </w:t>
      </w:r>
    </w:p>
    <w:p w:rsidR="00583DA6" w:rsidRDefault="006A45D9">
      <w:pPr>
        <w:jc w:val="both"/>
        <w:rPr>
          <w:rFonts w:ascii="Times New Roman" w:hAnsi="Times New Roman"/>
          <w:sz w:val="26"/>
          <w:szCs w:val="26"/>
        </w:rPr>
      </w:pPr>
      <w:r>
        <w:rPr>
          <w:rFonts w:ascii="Times New Roman" w:hAnsi="Times New Roman"/>
          <w:sz w:val="26"/>
          <w:szCs w:val="26"/>
        </w:rPr>
        <w:t>По всем источникам в 2022 году на реализацию государственных программ предусмотрено 124,44 млрд рублей и профинансировано 120,76 млрд рублей (освоено 120,59 млрд рублей).</w:t>
      </w:r>
    </w:p>
    <w:p w:rsidR="00583DA6" w:rsidRDefault="006A45D9">
      <w:pPr>
        <w:jc w:val="both"/>
        <w:rPr>
          <w:rFonts w:ascii="Times New Roman" w:hAnsi="Times New Roman"/>
          <w:sz w:val="26"/>
          <w:szCs w:val="26"/>
        </w:rPr>
      </w:pPr>
      <w:r>
        <w:rPr>
          <w:rFonts w:ascii="Times New Roman" w:hAnsi="Times New Roman"/>
          <w:sz w:val="26"/>
          <w:szCs w:val="26"/>
        </w:rPr>
        <w:t>В общем объеме сре</w:t>
      </w:r>
      <w:r>
        <w:rPr>
          <w:rFonts w:ascii="Times New Roman" w:hAnsi="Times New Roman"/>
          <w:sz w:val="26"/>
          <w:szCs w:val="26"/>
        </w:rPr>
        <w:t>дств, освоенных в рамках реализации государственных программ Камчатского края, доля средств федерального бюджета составила 16,24%, краевого бюджета 61,77%, государственные внебюджетные фонды 11,61%, прочие источники – 10,39%.</w:t>
      </w:r>
    </w:p>
    <w:p w:rsidR="00583DA6" w:rsidRDefault="00583DA6">
      <w:pPr>
        <w:rPr>
          <w:rFonts w:ascii="Times New Roman" w:hAnsi="Times New Roman"/>
          <w:b/>
          <w:sz w:val="26"/>
          <w:szCs w:val="26"/>
          <w:u w:val="single"/>
        </w:rPr>
      </w:pPr>
    </w:p>
    <w:p w:rsidR="00583DA6" w:rsidRDefault="006A45D9">
      <w:pPr>
        <w:ind w:left="284" w:hanging="284"/>
        <w:jc w:val="center"/>
        <w:outlineLvl w:val="0"/>
        <w:rPr>
          <w:rFonts w:ascii="Times New Roman" w:hAnsi="Times New Roman"/>
          <w:b/>
          <w:sz w:val="28"/>
          <w:szCs w:val="28"/>
        </w:rPr>
      </w:pPr>
      <w:bookmarkStart w:id="22" w:name="_Toc132664211"/>
      <w:r>
        <w:rPr>
          <w:rFonts w:ascii="Times New Roman" w:hAnsi="Times New Roman"/>
          <w:b/>
          <w:sz w:val="26"/>
          <w:szCs w:val="26"/>
        </w:rPr>
        <w:t>4. </w:t>
      </w:r>
      <w:r>
        <w:rPr>
          <w:rFonts w:ascii="Times New Roman" w:hAnsi="Times New Roman"/>
          <w:b/>
          <w:sz w:val="28"/>
          <w:szCs w:val="28"/>
        </w:rPr>
        <w:t>Оценка деятельности ответс</w:t>
      </w:r>
      <w:r>
        <w:rPr>
          <w:rFonts w:ascii="Times New Roman" w:hAnsi="Times New Roman"/>
          <w:b/>
          <w:sz w:val="28"/>
          <w:szCs w:val="28"/>
        </w:rPr>
        <w:t>твенных исполнителей в части, касающейся реализации государственных программ Камчатского края</w:t>
      </w:r>
      <w:bookmarkEnd w:id="22"/>
    </w:p>
    <w:p w:rsidR="00583DA6" w:rsidRDefault="00583DA6">
      <w:pPr>
        <w:ind w:firstLine="709"/>
        <w:jc w:val="both"/>
        <w:rPr>
          <w:rFonts w:ascii="Times New Roman" w:hAnsi="Times New Roman"/>
          <w:sz w:val="28"/>
          <w:szCs w:val="28"/>
        </w:rPr>
      </w:pPr>
    </w:p>
    <w:p w:rsidR="00583DA6" w:rsidRDefault="006A45D9">
      <w:pPr>
        <w:ind w:firstLine="709"/>
        <w:jc w:val="both"/>
        <w:rPr>
          <w:rFonts w:ascii="Times New Roman" w:hAnsi="Times New Roman"/>
          <w:sz w:val="28"/>
          <w:szCs w:val="28"/>
        </w:rPr>
      </w:pPr>
      <w:r>
        <w:rPr>
          <w:rFonts w:ascii="Times New Roman" w:hAnsi="Times New Roman"/>
          <w:sz w:val="28"/>
          <w:szCs w:val="28"/>
        </w:rPr>
        <w:t xml:space="preserve">Работа ответственных исполнителей осуществлялась в соответствии с утвержденными планами реализации государственных программ Камчатского края на 2022 год и на </w:t>
      </w:r>
      <w:r>
        <w:rPr>
          <w:rFonts w:ascii="Times New Roman" w:hAnsi="Times New Roman"/>
          <w:sz w:val="28"/>
          <w:szCs w:val="28"/>
        </w:rPr>
        <w:t>плановый период 2023-2024 годов (далее – Планы реализации), содержащими перечень наиболее важных, социально значимых контрольных событий государственных программ с указанием сроков их реализации.</w:t>
      </w:r>
    </w:p>
    <w:p w:rsidR="00583DA6" w:rsidRDefault="006A45D9">
      <w:pPr>
        <w:ind w:firstLine="709"/>
        <w:jc w:val="both"/>
        <w:rPr>
          <w:rFonts w:ascii="Times New Roman" w:hAnsi="Times New Roman"/>
          <w:sz w:val="28"/>
          <w:szCs w:val="28"/>
        </w:rPr>
      </w:pPr>
      <w:r>
        <w:rPr>
          <w:rFonts w:ascii="Times New Roman" w:hAnsi="Times New Roman"/>
          <w:sz w:val="28"/>
          <w:szCs w:val="28"/>
        </w:rPr>
        <w:t>Вместе с тем, управление государственными программами требую</w:t>
      </w:r>
      <w:r>
        <w:rPr>
          <w:rFonts w:ascii="Times New Roman" w:hAnsi="Times New Roman"/>
          <w:sz w:val="28"/>
          <w:szCs w:val="28"/>
        </w:rPr>
        <w:t>т своевременного внесения изменений в государственную программу (в зависимости от изменившихся обстоятельств).</w:t>
      </w:r>
    </w:p>
    <w:p w:rsidR="00583DA6" w:rsidRDefault="006A45D9">
      <w:pPr>
        <w:ind w:firstLine="709"/>
        <w:jc w:val="both"/>
        <w:rPr>
          <w:rFonts w:ascii="Times New Roman" w:hAnsi="Times New Roman"/>
          <w:sz w:val="28"/>
          <w:szCs w:val="28"/>
        </w:rPr>
      </w:pPr>
      <w:r>
        <w:rPr>
          <w:rFonts w:ascii="Times New Roman" w:hAnsi="Times New Roman"/>
          <w:sz w:val="28"/>
          <w:szCs w:val="28"/>
        </w:rPr>
        <w:t>За 2022 год на согласование в Минэкономразвития Камчатского края поступило более 90 проектов внесения изменений, в том числе в части приведения к</w:t>
      </w:r>
      <w:r>
        <w:rPr>
          <w:rFonts w:ascii="Times New Roman" w:hAnsi="Times New Roman"/>
          <w:sz w:val="28"/>
          <w:szCs w:val="28"/>
        </w:rPr>
        <w:t xml:space="preserve"> соответствующим изменениям Закона Камчатского края «О краевом бюджете на 2022 год и на плановый период 2023 и 2024 годов», в государственные программы (более 120 версий) и более 40 планов реализации государственных программ.</w:t>
      </w:r>
    </w:p>
    <w:p w:rsidR="00583DA6" w:rsidRDefault="006A45D9">
      <w:pPr>
        <w:ind w:firstLine="709"/>
        <w:jc w:val="both"/>
        <w:rPr>
          <w:rFonts w:ascii="Times New Roman" w:hAnsi="Times New Roman"/>
          <w:sz w:val="28"/>
          <w:szCs w:val="28"/>
        </w:rPr>
      </w:pPr>
      <w:r>
        <w:rPr>
          <w:rFonts w:ascii="Times New Roman" w:hAnsi="Times New Roman"/>
          <w:sz w:val="28"/>
          <w:szCs w:val="28"/>
        </w:rPr>
        <w:t>Эффективность мониторинга реал</w:t>
      </w:r>
      <w:r>
        <w:rPr>
          <w:rFonts w:ascii="Times New Roman" w:hAnsi="Times New Roman"/>
          <w:sz w:val="28"/>
          <w:szCs w:val="28"/>
        </w:rPr>
        <w:t>изации государственных программ, осуществляемая на основании отчетов ответственных исполнителей государственных программ в 2022 году, выражающаяся в своевременном направлении форм мониторинга (ежемесячных, ежеквартальных и годовой общим числом 16 единиц) з</w:t>
      </w:r>
      <w:r>
        <w:rPr>
          <w:rFonts w:ascii="Times New Roman" w:hAnsi="Times New Roman"/>
          <w:sz w:val="28"/>
          <w:szCs w:val="28"/>
        </w:rPr>
        <w:t>аметно снижена, так, например, от 25 до 50% отчетов не поступили своевременно по 13 государственным программам, дополнительно по 5 государственным программам более 50% отчетов не представлено своевременно. Средний уровень несвоевременно представленных отче</w:t>
      </w:r>
      <w:r>
        <w:rPr>
          <w:rFonts w:ascii="Times New Roman" w:hAnsi="Times New Roman"/>
          <w:sz w:val="28"/>
          <w:szCs w:val="28"/>
        </w:rPr>
        <w:t>тов – 34,03%. Отчеты, потребовавшие доработки – 6,25%.</w:t>
      </w:r>
    </w:p>
    <w:p w:rsidR="00583DA6" w:rsidRDefault="006A45D9">
      <w:pPr>
        <w:ind w:firstLine="709"/>
        <w:jc w:val="both"/>
        <w:rPr>
          <w:rFonts w:ascii="Times New Roman" w:hAnsi="Times New Roman"/>
          <w:sz w:val="28"/>
          <w:szCs w:val="28"/>
        </w:rPr>
      </w:pPr>
      <w:r>
        <w:rPr>
          <w:rFonts w:ascii="Times New Roman" w:hAnsi="Times New Roman"/>
          <w:sz w:val="28"/>
          <w:szCs w:val="28"/>
        </w:rPr>
        <w:t>В отчетном году предложения со стороны ряда ответственных исполнителей в процессе реализации государственных программ Камчатского края о внесении изменений в планы реализации носили несвоевременный хар</w:t>
      </w:r>
      <w:r>
        <w:rPr>
          <w:rFonts w:ascii="Times New Roman" w:hAnsi="Times New Roman"/>
          <w:sz w:val="28"/>
          <w:szCs w:val="28"/>
        </w:rPr>
        <w:t>актер (после планового срока наступления контрольных событий) или отсутствовали вовсе, что привело к неисполнению планов реализации и отразилось на оценке эффективности реализации государственных программ Камчатского края.</w:t>
      </w:r>
    </w:p>
    <w:p w:rsidR="00583DA6" w:rsidRDefault="006A45D9">
      <w:pPr>
        <w:ind w:firstLine="709"/>
        <w:jc w:val="both"/>
        <w:rPr>
          <w:rFonts w:ascii="Times New Roman" w:hAnsi="Times New Roman"/>
          <w:sz w:val="28"/>
          <w:szCs w:val="28"/>
        </w:rPr>
      </w:pPr>
      <w:r>
        <w:rPr>
          <w:rFonts w:ascii="Times New Roman" w:hAnsi="Times New Roman"/>
          <w:sz w:val="28"/>
          <w:szCs w:val="28"/>
        </w:rPr>
        <w:t>В соответствии с Методическими ук</w:t>
      </w:r>
      <w:r>
        <w:rPr>
          <w:rFonts w:ascii="Times New Roman" w:hAnsi="Times New Roman"/>
          <w:sz w:val="28"/>
          <w:szCs w:val="28"/>
        </w:rPr>
        <w:t>азаниями Минэкономразвития Камчатского края на основании представленных ответственными исполнителями годовых отчетов проведена оценка эффективности государственных программ Камчатского края по итогам 2022 года.</w:t>
      </w:r>
    </w:p>
    <w:p w:rsidR="00583DA6" w:rsidRDefault="006A45D9">
      <w:pPr>
        <w:ind w:firstLine="709"/>
        <w:jc w:val="both"/>
        <w:rPr>
          <w:rFonts w:ascii="Times New Roman" w:hAnsi="Times New Roman"/>
          <w:sz w:val="28"/>
          <w:szCs w:val="28"/>
        </w:rPr>
      </w:pPr>
      <w:r>
        <w:rPr>
          <w:rFonts w:ascii="Times New Roman" w:hAnsi="Times New Roman"/>
          <w:sz w:val="28"/>
          <w:szCs w:val="28"/>
        </w:rPr>
        <w:t>Уровень эффективности реализации государствен</w:t>
      </w:r>
      <w:r>
        <w:rPr>
          <w:rFonts w:ascii="Times New Roman" w:hAnsi="Times New Roman"/>
          <w:sz w:val="28"/>
          <w:szCs w:val="28"/>
        </w:rPr>
        <w:t>ных программ Камчатского края во многом зависит от выполнения ответственными исполнителями контрольных событий.</w:t>
      </w:r>
    </w:p>
    <w:p w:rsidR="00583DA6" w:rsidRDefault="006A45D9">
      <w:pPr>
        <w:ind w:firstLine="709"/>
        <w:jc w:val="both"/>
        <w:rPr>
          <w:rFonts w:ascii="Times New Roman" w:hAnsi="Times New Roman"/>
          <w:sz w:val="28"/>
          <w:szCs w:val="28"/>
        </w:rPr>
      </w:pPr>
      <w:r>
        <w:rPr>
          <w:rFonts w:ascii="Times New Roman" w:hAnsi="Times New Roman"/>
          <w:sz w:val="28"/>
          <w:szCs w:val="28"/>
        </w:rPr>
        <w:t>Степень реализации контрольных событий высокоэффективных государственных программ Камчатского края составила, то есть практически все запланиров</w:t>
      </w:r>
      <w:r>
        <w:rPr>
          <w:rFonts w:ascii="Times New Roman" w:hAnsi="Times New Roman"/>
          <w:sz w:val="28"/>
          <w:szCs w:val="28"/>
        </w:rPr>
        <w:t xml:space="preserve">анные контрольные события наступили. При этом уровень освоения средств краевого бюджета и уровень достижения целевых показателей составил 99,0% и 95,8% соответственно. </w:t>
      </w:r>
    </w:p>
    <w:p w:rsidR="00583DA6" w:rsidRDefault="006A45D9">
      <w:pPr>
        <w:ind w:firstLine="709"/>
        <w:jc w:val="both"/>
        <w:rPr>
          <w:rFonts w:ascii="Times New Roman" w:hAnsi="Times New Roman"/>
          <w:sz w:val="28"/>
          <w:szCs w:val="28"/>
        </w:rPr>
      </w:pPr>
      <w:r>
        <w:rPr>
          <w:rFonts w:ascii="Times New Roman" w:hAnsi="Times New Roman"/>
          <w:sz w:val="28"/>
          <w:szCs w:val="28"/>
        </w:rPr>
        <w:t>Степень реализации контрольных событий государственных программ Камчатского края со сре</w:t>
      </w:r>
      <w:r>
        <w:rPr>
          <w:rFonts w:ascii="Times New Roman" w:hAnsi="Times New Roman"/>
          <w:sz w:val="28"/>
          <w:szCs w:val="28"/>
        </w:rPr>
        <w:t>дним уровнем эффективности составила 97,79%. При этом уровень освоения средств краевого бюджета и уровень достижения целевых показателей составил 95,41% и 99,32% соответственно.</w:t>
      </w:r>
    </w:p>
    <w:p w:rsidR="00583DA6" w:rsidRDefault="006A45D9">
      <w:pPr>
        <w:ind w:firstLine="709"/>
        <w:jc w:val="both"/>
        <w:rPr>
          <w:rFonts w:ascii="Times New Roman" w:hAnsi="Times New Roman"/>
          <w:sz w:val="28"/>
          <w:szCs w:val="28"/>
        </w:rPr>
      </w:pPr>
      <w:r>
        <w:rPr>
          <w:rFonts w:ascii="Times New Roman" w:hAnsi="Times New Roman"/>
          <w:sz w:val="28"/>
          <w:szCs w:val="28"/>
        </w:rPr>
        <w:t>Степень реализации контрольных событий государственных программ Камчатского кр</w:t>
      </w:r>
      <w:r>
        <w:rPr>
          <w:rFonts w:ascii="Times New Roman" w:hAnsi="Times New Roman"/>
          <w:sz w:val="28"/>
          <w:szCs w:val="28"/>
        </w:rPr>
        <w:t>ая с удовлетворительным уровнем эффективности составила 94,0%. При этом уровень освоения средств краевого бюджета и уровень достижения целевых показателей составил 93,0% и 80,0% соответственно.</w:t>
      </w:r>
    </w:p>
    <w:p w:rsidR="00583DA6" w:rsidRDefault="006A45D9">
      <w:pPr>
        <w:ind w:firstLine="709"/>
        <w:jc w:val="both"/>
        <w:rPr>
          <w:rFonts w:ascii="Times New Roman" w:hAnsi="Times New Roman"/>
          <w:sz w:val="28"/>
          <w:szCs w:val="28"/>
        </w:rPr>
        <w:sectPr w:rsidR="00583DA6">
          <w:headerReference w:type="even" r:id="rId12"/>
          <w:headerReference w:type="default" r:id="rId13"/>
          <w:footerReference w:type="default" r:id="rId14"/>
          <w:headerReference w:type="first" r:id="rId15"/>
          <w:pgSz w:w="11906" w:h="16838"/>
          <w:pgMar w:top="1134" w:right="567" w:bottom="1134" w:left="1701" w:header="0" w:footer="0" w:gutter="0"/>
          <w:cols w:space="720"/>
          <w:formProt w:val="0"/>
          <w:titlePg/>
          <w:docGrid w:linePitch="360"/>
        </w:sectPr>
      </w:pPr>
      <w:bookmarkStart w:id="23" w:name="sub_1000"/>
      <w:r>
        <w:rPr>
          <w:rFonts w:ascii="Times New Roman" w:hAnsi="Times New Roman"/>
          <w:sz w:val="28"/>
          <w:szCs w:val="28"/>
        </w:rPr>
        <w:t>Для повышения эффективности реализации мероприятий ответственным исполнителям</w:t>
      </w:r>
      <w:r>
        <w:rPr>
          <w:rFonts w:ascii="Times New Roman" w:hAnsi="Times New Roman"/>
          <w:sz w:val="28"/>
          <w:szCs w:val="28"/>
        </w:rPr>
        <w:t xml:space="preserve"> (соисполнителям, участникам) в процессе реализации мероприятий государственных программ необходимо руководствоваться требованиями Порядка принятия решений о разработке государственных программ Камчатского края, их формирования и реализации, утвержденного </w:t>
      </w:r>
      <w:r>
        <w:rPr>
          <w:rFonts w:ascii="Times New Roman" w:hAnsi="Times New Roman"/>
          <w:sz w:val="28"/>
          <w:szCs w:val="28"/>
        </w:rPr>
        <w:t>постановлением Правительства Камчатского края от 07.05.2013 № 235-П, следовать Методическим указаниям по разработке и реализации государственных программ Камчатского края, утвержденных приказом Минэкономразвития Камчатского края от 13.02.2023 № 6</w:t>
      </w:r>
      <w:bookmarkEnd w:id="23"/>
      <w:r>
        <w:rPr>
          <w:rFonts w:ascii="Times New Roman" w:hAnsi="Times New Roman"/>
          <w:sz w:val="28"/>
          <w:szCs w:val="28"/>
        </w:rPr>
        <w:t>-Н.</w:t>
      </w:r>
    </w:p>
    <w:p w:rsidR="00583DA6" w:rsidRDefault="006A45D9">
      <w:pPr>
        <w:ind w:firstLine="709"/>
        <w:jc w:val="right"/>
        <w:rPr>
          <w:rFonts w:ascii="Times New Roman" w:hAnsi="Times New Roman"/>
          <w:sz w:val="28"/>
          <w:szCs w:val="28"/>
        </w:rPr>
      </w:pPr>
      <w:r>
        <w:rPr>
          <w:rFonts w:ascii="Times New Roman" w:hAnsi="Times New Roman"/>
          <w:sz w:val="28"/>
          <w:szCs w:val="28"/>
        </w:rPr>
        <w:t>Прилож</w:t>
      </w:r>
      <w:r>
        <w:rPr>
          <w:rFonts w:ascii="Times New Roman" w:hAnsi="Times New Roman"/>
          <w:sz w:val="28"/>
          <w:szCs w:val="28"/>
        </w:rPr>
        <w:t>ение</w:t>
      </w:r>
    </w:p>
    <w:p w:rsidR="00583DA6" w:rsidRDefault="006A45D9">
      <w:pPr>
        <w:ind w:firstLine="709"/>
        <w:jc w:val="both"/>
        <w:rPr>
          <w:rFonts w:ascii="Times New Roman" w:hAnsi="Times New Roman"/>
          <w:sz w:val="28"/>
          <w:szCs w:val="28"/>
        </w:rPr>
      </w:pPr>
      <w:r>
        <w:rPr>
          <w:rFonts w:ascii="Times New Roman" w:eastAsia="Times New Roman" w:hAnsi="Times New Roman"/>
          <w:b/>
          <w:bCs/>
          <w:sz w:val="24"/>
          <w:szCs w:val="24"/>
          <w:lang w:eastAsia="ru-RU"/>
        </w:rPr>
        <w:t>Эффективность реализации государственных программ Камчатского края</w:t>
      </w:r>
    </w:p>
    <w:tbl>
      <w:tblPr>
        <w:tblW w:w="5000" w:type="pct"/>
        <w:tblLayout w:type="fixed"/>
        <w:tblLook w:val="04A0" w:firstRow="1" w:lastRow="0" w:firstColumn="1" w:lastColumn="0" w:noHBand="0" w:noVBand="1"/>
      </w:tblPr>
      <w:tblGrid>
        <w:gridCol w:w="4644"/>
        <w:gridCol w:w="1088"/>
        <w:gridCol w:w="814"/>
        <w:gridCol w:w="1702"/>
        <w:gridCol w:w="708"/>
        <w:gridCol w:w="1421"/>
        <w:gridCol w:w="708"/>
        <w:gridCol w:w="1991"/>
        <w:gridCol w:w="1484"/>
      </w:tblGrid>
      <w:tr w:rsidR="00583DA6">
        <w:trPr>
          <w:cantSplit/>
          <w:trHeight w:val="3627"/>
        </w:trPr>
        <w:tc>
          <w:tcPr>
            <w:tcW w:w="4647" w:type="dxa"/>
            <w:tcBorders>
              <w:top w:val="single" w:sz="4" w:space="0" w:color="000000"/>
              <w:left w:val="single" w:sz="4" w:space="0" w:color="000000"/>
              <w:bottom w:val="single" w:sz="4" w:space="0" w:color="000000"/>
              <w:right w:val="dashed" w:sz="4" w:space="0" w:color="000000"/>
            </w:tcBorders>
            <w:shd w:val="clear" w:color="FFFFCC" w:fill="FFFFFF"/>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Наименование Государственной программы Камчатского края</w:t>
            </w:r>
          </w:p>
        </w:tc>
        <w:tc>
          <w:tcPr>
            <w:tcW w:w="1089" w:type="dxa"/>
            <w:tcBorders>
              <w:top w:val="single" w:sz="4" w:space="0" w:color="000000"/>
              <w:left w:val="dashed" w:sz="4" w:space="0" w:color="000000"/>
              <w:bottom w:val="single" w:sz="4" w:space="0" w:color="000000"/>
              <w:right w:val="dashed" w:sz="4" w:space="0" w:color="000000"/>
            </w:tcBorders>
            <w:shd w:val="clear" w:color="FFFFCC" w:fill="FFFFFF"/>
            <w:textDirection w:val="btLr"/>
            <w:vAlign w:val="center"/>
          </w:tcPr>
          <w:p w:rsidR="00583DA6" w:rsidRDefault="006A45D9">
            <w:pPr>
              <w:widowControl w:val="0"/>
              <w:ind w:left="113" w:right="113"/>
              <w:rPr>
                <w:rFonts w:ascii="Times New Roman" w:eastAsia="Times New Roman" w:hAnsi="Times New Roman"/>
                <w:sz w:val="20"/>
                <w:szCs w:val="20"/>
                <w:lang w:eastAsia="ru-RU"/>
              </w:rPr>
            </w:pPr>
            <w:r>
              <w:rPr>
                <w:rFonts w:ascii="Times New Roman" w:eastAsia="Times New Roman" w:hAnsi="Times New Roman"/>
                <w:sz w:val="20"/>
                <w:szCs w:val="20"/>
                <w:lang w:eastAsia="ru-RU"/>
              </w:rPr>
              <w:t>Средняя степень достижения плановых значений показателей</w:t>
            </w:r>
            <w:r>
              <w:rPr>
                <w:rFonts w:ascii="Times New Roman" w:eastAsia="Times New Roman" w:hAnsi="Times New Roman"/>
                <w:sz w:val="20"/>
                <w:szCs w:val="20"/>
                <w:lang w:eastAsia="ru-RU"/>
              </w:rPr>
              <w:br/>
            </w:r>
            <w:r>
              <w:rPr>
                <w:rFonts w:ascii="Times New Roman" w:eastAsia="Times New Roman" w:hAnsi="Times New Roman"/>
                <w:sz w:val="20"/>
                <w:szCs w:val="20"/>
                <w:lang w:eastAsia="ru-RU"/>
              </w:rPr>
              <w:br/>
              <w:t>Оценка ответственного исполнителя</w:t>
            </w:r>
          </w:p>
        </w:tc>
        <w:tc>
          <w:tcPr>
            <w:tcW w:w="814" w:type="dxa"/>
            <w:tcBorders>
              <w:top w:val="single" w:sz="4" w:space="0" w:color="000000"/>
              <w:left w:val="dashed" w:sz="4" w:space="0" w:color="000000"/>
              <w:bottom w:val="single" w:sz="4" w:space="0" w:color="000000"/>
              <w:right w:val="dashed" w:sz="4" w:space="0" w:color="000000"/>
            </w:tcBorders>
            <w:shd w:val="clear" w:color="FFFFCC" w:fill="FFFFFF"/>
            <w:textDirection w:val="btLr"/>
            <w:vAlign w:val="center"/>
          </w:tcPr>
          <w:p w:rsidR="00583DA6" w:rsidRDefault="006A45D9">
            <w:pPr>
              <w:widowControl w:val="0"/>
              <w:ind w:left="113" w:right="113"/>
              <w:jc w:val="right"/>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Средняя степень достижения плановых </w:t>
            </w:r>
            <w:r>
              <w:rPr>
                <w:rFonts w:ascii="Times New Roman" w:eastAsia="Times New Roman" w:hAnsi="Times New Roman"/>
                <w:sz w:val="20"/>
                <w:szCs w:val="20"/>
                <w:lang w:eastAsia="ru-RU"/>
              </w:rPr>
              <w:t>значений показателей</w:t>
            </w:r>
          </w:p>
        </w:tc>
        <w:tc>
          <w:tcPr>
            <w:tcW w:w="1703" w:type="dxa"/>
            <w:tcBorders>
              <w:top w:val="single" w:sz="4" w:space="0" w:color="000000"/>
              <w:left w:val="dashed" w:sz="4" w:space="0" w:color="000000"/>
              <w:bottom w:val="single" w:sz="4" w:space="0" w:color="000000"/>
              <w:right w:val="dashed" w:sz="4" w:space="0" w:color="000000"/>
            </w:tcBorders>
            <w:shd w:val="clear" w:color="FFFFCC" w:fill="FFFFFF"/>
            <w:textDirection w:val="btLr"/>
            <w:vAlign w:val="center"/>
          </w:tcPr>
          <w:p w:rsidR="00583DA6" w:rsidRDefault="006A45D9">
            <w:pPr>
              <w:widowControl w:val="0"/>
              <w:ind w:left="113" w:right="113"/>
              <w:rPr>
                <w:rFonts w:ascii="Times New Roman" w:eastAsia="Times New Roman" w:hAnsi="Times New Roman"/>
                <w:sz w:val="20"/>
                <w:szCs w:val="20"/>
                <w:lang w:eastAsia="ru-RU"/>
              </w:rPr>
            </w:pPr>
            <w:r>
              <w:rPr>
                <w:rFonts w:ascii="Times New Roman" w:eastAsia="Times New Roman" w:hAnsi="Times New Roman"/>
                <w:sz w:val="20"/>
                <w:szCs w:val="20"/>
                <w:lang w:eastAsia="ru-RU"/>
              </w:rPr>
              <w:t>Степень соответствия запланированному</w:t>
            </w:r>
            <w:r>
              <w:rPr>
                <w:rFonts w:ascii="Times New Roman" w:eastAsia="Times New Roman" w:hAnsi="Times New Roman"/>
                <w:sz w:val="20"/>
                <w:szCs w:val="20"/>
                <w:lang w:eastAsia="ru-RU"/>
              </w:rPr>
              <w:br/>
              <w:t>уровню затрат</w:t>
            </w:r>
            <w:r>
              <w:rPr>
                <w:rFonts w:ascii="Times New Roman" w:eastAsia="Times New Roman" w:hAnsi="Times New Roman"/>
                <w:sz w:val="20"/>
                <w:szCs w:val="20"/>
                <w:lang w:eastAsia="ru-RU"/>
              </w:rPr>
              <w:br/>
            </w:r>
            <w:r>
              <w:rPr>
                <w:rFonts w:ascii="Times New Roman" w:eastAsia="Times New Roman" w:hAnsi="Times New Roman"/>
                <w:sz w:val="20"/>
                <w:szCs w:val="20"/>
                <w:lang w:eastAsia="ru-RU"/>
              </w:rPr>
              <w:br/>
              <w:t>Оценка ответственного исполнителя</w:t>
            </w:r>
          </w:p>
        </w:tc>
        <w:tc>
          <w:tcPr>
            <w:tcW w:w="708" w:type="dxa"/>
            <w:tcBorders>
              <w:top w:val="single" w:sz="4" w:space="0" w:color="000000"/>
              <w:left w:val="dashed" w:sz="4" w:space="0" w:color="000000"/>
              <w:bottom w:val="single" w:sz="4" w:space="0" w:color="000000"/>
              <w:right w:val="dashed" w:sz="4" w:space="0" w:color="000000"/>
            </w:tcBorders>
            <w:shd w:val="clear" w:color="FFFFCC" w:fill="FFFFFF"/>
            <w:textDirection w:val="btLr"/>
            <w:vAlign w:val="center"/>
          </w:tcPr>
          <w:p w:rsidR="00583DA6" w:rsidRDefault="006A45D9">
            <w:pPr>
              <w:widowControl w:val="0"/>
              <w:ind w:left="113" w:right="113"/>
              <w:jc w:val="right"/>
              <w:rPr>
                <w:rFonts w:ascii="Times New Roman" w:eastAsia="Times New Roman" w:hAnsi="Times New Roman"/>
                <w:sz w:val="20"/>
                <w:szCs w:val="20"/>
                <w:lang w:eastAsia="ru-RU"/>
              </w:rPr>
            </w:pPr>
            <w:r>
              <w:rPr>
                <w:rFonts w:ascii="Times New Roman" w:eastAsia="Times New Roman" w:hAnsi="Times New Roman"/>
                <w:sz w:val="20"/>
                <w:szCs w:val="20"/>
                <w:lang w:eastAsia="ru-RU"/>
              </w:rPr>
              <w:t>Степень соответствия запланированному</w:t>
            </w:r>
            <w:r>
              <w:rPr>
                <w:rFonts w:ascii="Times New Roman" w:eastAsia="Times New Roman" w:hAnsi="Times New Roman"/>
                <w:sz w:val="20"/>
                <w:szCs w:val="20"/>
                <w:lang w:eastAsia="ru-RU"/>
              </w:rPr>
              <w:br/>
              <w:t>уровню затрат</w:t>
            </w:r>
          </w:p>
        </w:tc>
        <w:tc>
          <w:tcPr>
            <w:tcW w:w="1422" w:type="dxa"/>
            <w:tcBorders>
              <w:top w:val="single" w:sz="4" w:space="0" w:color="000000"/>
              <w:left w:val="dashed" w:sz="4" w:space="0" w:color="000000"/>
              <w:bottom w:val="single" w:sz="4" w:space="0" w:color="000000"/>
              <w:right w:val="dashed" w:sz="4" w:space="0" w:color="000000"/>
            </w:tcBorders>
            <w:shd w:val="clear" w:color="FFFFCC" w:fill="FFFFFF"/>
            <w:textDirection w:val="btLr"/>
            <w:vAlign w:val="center"/>
          </w:tcPr>
          <w:p w:rsidR="00583DA6" w:rsidRDefault="006A45D9">
            <w:pPr>
              <w:widowControl w:val="0"/>
              <w:ind w:left="113" w:right="113"/>
              <w:rPr>
                <w:rFonts w:ascii="Times New Roman" w:eastAsia="Times New Roman" w:hAnsi="Times New Roman"/>
                <w:sz w:val="20"/>
                <w:szCs w:val="20"/>
                <w:lang w:eastAsia="ru-RU"/>
              </w:rPr>
            </w:pPr>
            <w:r>
              <w:rPr>
                <w:rFonts w:ascii="Times New Roman" w:eastAsia="Times New Roman" w:hAnsi="Times New Roman"/>
                <w:sz w:val="20"/>
                <w:szCs w:val="20"/>
                <w:lang w:eastAsia="ru-RU"/>
              </w:rPr>
              <w:t>Степень реализации контрольных событий</w:t>
            </w:r>
            <w:r>
              <w:rPr>
                <w:rFonts w:ascii="Times New Roman" w:eastAsia="Times New Roman" w:hAnsi="Times New Roman"/>
                <w:sz w:val="20"/>
                <w:szCs w:val="20"/>
                <w:lang w:eastAsia="ru-RU"/>
              </w:rPr>
              <w:br/>
            </w:r>
            <w:r>
              <w:rPr>
                <w:rFonts w:ascii="Times New Roman" w:eastAsia="Times New Roman" w:hAnsi="Times New Roman"/>
                <w:sz w:val="20"/>
                <w:szCs w:val="20"/>
                <w:lang w:eastAsia="ru-RU"/>
              </w:rPr>
              <w:br/>
              <w:t>Оценка ответственного исполнителя</w:t>
            </w:r>
          </w:p>
        </w:tc>
        <w:tc>
          <w:tcPr>
            <w:tcW w:w="708" w:type="dxa"/>
            <w:tcBorders>
              <w:top w:val="single" w:sz="4" w:space="0" w:color="000000"/>
              <w:left w:val="dashed" w:sz="4" w:space="0" w:color="000000"/>
              <w:bottom w:val="single" w:sz="4" w:space="0" w:color="000000"/>
              <w:right w:val="dashed" w:sz="4" w:space="0" w:color="000000"/>
            </w:tcBorders>
            <w:shd w:val="clear" w:color="FFFFCC" w:fill="FFFFFF"/>
            <w:textDirection w:val="btLr"/>
            <w:vAlign w:val="center"/>
          </w:tcPr>
          <w:p w:rsidR="00583DA6" w:rsidRDefault="006A45D9">
            <w:pPr>
              <w:widowControl w:val="0"/>
              <w:ind w:left="113" w:right="113"/>
              <w:jc w:val="right"/>
              <w:rPr>
                <w:rFonts w:ascii="Times New Roman" w:eastAsia="Times New Roman" w:hAnsi="Times New Roman"/>
                <w:sz w:val="20"/>
                <w:szCs w:val="20"/>
                <w:lang w:eastAsia="ru-RU"/>
              </w:rPr>
            </w:pPr>
            <w:r>
              <w:rPr>
                <w:rFonts w:ascii="Times New Roman" w:eastAsia="Times New Roman" w:hAnsi="Times New Roman"/>
                <w:sz w:val="20"/>
                <w:szCs w:val="20"/>
                <w:lang w:eastAsia="ru-RU"/>
              </w:rPr>
              <w:t>Степень реализации кон</w:t>
            </w:r>
            <w:r>
              <w:rPr>
                <w:rFonts w:ascii="Times New Roman" w:eastAsia="Times New Roman" w:hAnsi="Times New Roman"/>
                <w:sz w:val="20"/>
                <w:szCs w:val="20"/>
                <w:lang w:eastAsia="ru-RU"/>
              </w:rPr>
              <w:t>трольных событий</w:t>
            </w:r>
          </w:p>
        </w:tc>
        <w:tc>
          <w:tcPr>
            <w:tcW w:w="1992" w:type="dxa"/>
            <w:tcBorders>
              <w:top w:val="single" w:sz="4" w:space="0" w:color="000000"/>
              <w:left w:val="dashed" w:sz="4" w:space="0" w:color="000000"/>
              <w:bottom w:val="single" w:sz="4" w:space="0" w:color="000000"/>
              <w:right w:val="dashed" w:sz="4" w:space="0" w:color="000000"/>
            </w:tcBorders>
            <w:shd w:val="clear" w:color="FFFFCC" w:fill="FFFFFF"/>
            <w:textDirection w:val="btLr"/>
            <w:vAlign w:val="center"/>
          </w:tcPr>
          <w:p w:rsidR="00583DA6" w:rsidRDefault="006A45D9">
            <w:pPr>
              <w:widowControl w:val="0"/>
              <w:ind w:left="113" w:right="113"/>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Коэффициент эффективности реализации Государственной программы </w:t>
            </w:r>
            <w:r>
              <w:rPr>
                <w:rFonts w:ascii="Times New Roman" w:eastAsia="Times New Roman" w:hAnsi="Times New Roman"/>
                <w:sz w:val="20"/>
                <w:szCs w:val="20"/>
                <w:lang w:eastAsia="ru-RU"/>
              </w:rPr>
              <w:br/>
            </w:r>
            <w:r>
              <w:rPr>
                <w:rFonts w:ascii="Times New Roman" w:eastAsia="Times New Roman" w:hAnsi="Times New Roman"/>
                <w:b/>
                <w:bCs/>
                <w:sz w:val="20"/>
                <w:szCs w:val="20"/>
                <w:lang w:eastAsia="ru-RU"/>
              </w:rPr>
              <w:t>в соответствии с Методическими указаниями</w:t>
            </w:r>
            <w:r>
              <w:rPr>
                <w:rFonts w:ascii="Times New Roman" w:eastAsia="Times New Roman" w:hAnsi="Times New Roman"/>
                <w:b/>
                <w:bCs/>
                <w:sz w:val="20"/>
                <w:szCs w:val="20"/>
                <w:lang w:eastAsia="ru-RU"/>
              </w:rPr>
              <w:br/>
            </w:r>
            <w:r>
              <w:rPr>
                <w:rFonts w:ascii="Times New Roman" w:eastAsia="Times New Roman" w:hAnsi="Times New Roman"/>
                <w:b/>
                <w:bCs/>
                <w:sz w:val="20"/>
                <w:szCs w:val="20"/>
                <w:lang w:eastAsia="ru-RU"/>
              </w:rPr>
              <w:br/>
            </w:r>
            <w:r>
              <w:rPr>
                <w:rFonts w:ascii="Times New Roman" w:eastAsia="Times New Roman" w:hAnsi="Times New Roman"/>
                <w:sz w:val="20"/>
                <w:szCs w:val="20"/>
                <w:lang w:eastAsia="ru-RU"/>
              </w:rPr>
              <w:t>Оценка ответственного исполнителя</w:t>
            </w:r>
          </w:p>
        </w:tc>
        <w:tc>
          <w:tcPr>
            <w:tcW w:w="1485" w:type="dxa"/>
            <w:tcBorders>
              <w:top w:val="single" w:sz="4" w:space="0" w:color="000000"/>
              <w:left w:val="dashed" w:sz="4" w:space="0" w:color="000000"/>
              <w:bottom w:val="single" w:sz="4" w:space="0" w:color="000000"/>
              <w:right w:val="single" w:sz="4" w:space="0" w:color="000000"/>
            </w:tcBorders>
            <w:shd w:val="clear" w:color="FFFFCC" w:fill="FFFFFF"/>
            <w:textDirection w:val="btLr"/>
            <w:vAlign w:val="center"/>
          </w:tcPr>
          <w:p w:rsidR="00583DA6" w:rsidRDefault="006A45D9">
            <w:pPr>
              <w:widowControl w:val="0"/>
              <w:ind w:left="113" w:right="113"/>
              <w:jc w:val="right"/>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Коэффициент эффективности реализации Государственной программы </w:t>
            </w:r>
            <w:r>
              <w:rPr>
                <w:rFonts w:ascii="Times New Roman" w:eastAsia="Times New Roman" w:hAnsi="Times New Roman"/>
                <w:sz w:val="20"/>
                <w:szCs w:val="20"/>
                <w:lang w:eastAsia="ru-RU"/>
              </w:rPr>
              <w:br/>
            </w:r>
            <w:r>
              <w:rPr>
                <w:rFonts w:ascii="Times New Roman" w:eastAsia="Times New Roman" w:hAnsi="Times New Roman"/>
                <w:b/>
                <w:bCs/>
                <w:sz w:val="20"/>
                <w:szCs w:val="20"/>
                <w:lang w:eastAsia="ru-RU"/>
              </w:rPr>
              <w:t>в соответствии с Методическими ука</w:t>
            </w:r>
            <w:r>
              <w:rPr>
                <w:rFonts w:ascii="Times New Roman" w:eastAsia="Times New Roman" w:hAnsi="Times New Roman"/>
                <w:b/>
                <w:bCs/>
                <w:sz w:val="20"/>
                <w:szCs w:val="20"/>
                <w:lang w:eastAsia="ru-RU"/>
              </w:rPr>
              <w:t>заниями</w:t>
            </w:r>
          </w:p>
        </w:tc>
      </w:tr>
      <w:tr w:rsidR="00583DA6">
        <w:trPr>
          <w:trHeight w:val="630"/>
        </w:trPr>
        <w:tc>
          <w:tcPr>
            <w:tcW w:w="4647" w:type="dxa"/>
            <w:tcBorders>
              <w:top w:val="single" w:sz="4" w:space="0" w:color="000000"/>
              <w:left w:val="single" w:sz="4" w:space="0" w:color="000000"/>
              <w:bottom w:val="single" w:sz="4" w:space="0" w:color="000000"/>
              <w:right w:val="dashed" w:sz="4" w:space="0" w:color="000000"/>
            </w:tcBorders>
            <w:shd w:val="clear" w:color="auto" w:fill="auto"/>
          </w:tcPr>
          <w:p w:rsidR="00583DA6" w:rsidRDefault="006A45D9">
            <w:pPr>
              <w:widowContro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"Сохранение языков коренных малочисленных народов Севера, Сибири и Дальнего Востока, проживающих в Камчатском крае"</w:t>
            </w:r>
          </w:p>
        </w:tc>
        <w:tc>
          <w:tcPr>
            <w:tcW w:w="1089"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814"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703"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42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99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485" w:type="dxa"/>
            <w:tcBorders>
              <w:top w:val="single" w:sz="4" w:space="0" w:color="000000"/>
              <w:left w:val="dashed" w:sz="4" w:space="0" w:color="000000"/>
              <w:bottom w:val="single" w:sz="4" w:space="0" w:color="000000"/>
              <w:right w:val="single" w:sz="4" w:space="0" w:color="000000"/>
            </w:tcBorders>
            <w:shd w:val="clear" w:color="auto" w:fill="auto"/>
            <w:vAlign w:val="center"/>
          </w:tcPr>
          <w:p w:rsidR="00583DA6" w:rsidRDefault="006A45D9">
            <w:pPr>
              <w:widowControl w:val="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1,00</w:t>
            </w:r>
          </w:p>
        </w:tc>
      </w:tr>
      <w:tr w:rsidR="00583DA6">
        <w:trPr>
          <w:trHeight w:val="390"/>
        </w:trPr>
        <w:tc>
          <w:tcPr>
            <w:tcW w:w="4647" w:type="dxa"/>
            <w:tcBorders>
              <w:top w:val="single" w:sz="4" w:space="0" w:color="000000"/>
              <w:left w:val="single" w:sz="4" w:space="0" w:color="000000"/>
              <w:bottom w:val="single" w:sz="4" w:space="0" w:color="000000"/>
              <w:right w:val="dashed" w:sz="4" w:space="0" w:color="000000"/>
            </w:tcBorders>
            <w:shd w:val="clear" w:color="auto" w:fill="auto"/>
          </w:tcPr>
          <w:p w:rsidR="00583DA6" w:rsidRDefault="006A45D9">
            <w:pPr>
              <w:widowContro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"Формирование современной городской среды в Камчатском крае"</w:t>
            </w:r>
          </w:p>
        </w:tc>
        <w:tc>
          <w:tcPr>
            <w:tcW w:w="1089"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814"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703"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0,99</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42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99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0,99</w:t>
            </w:r>
          </w:p>
        </w:tc>
        <w:tc>
          <w:tcPr>
            <w:tcW w:w="1485" w:type="dxa"/>
            <w:tcBorders>
              <w:top w:val="single" w:sz="4" w:space="0" w:color="000000"/>
              <w:left w:val="dashed" w:sz="4" w:space="0" w:color="000000"/>
              <w:bottom w:val="single" w:sz="4" w:space="0" w:color="000000"/>
              <w:right w:val="single" w:sz="4" w:space="0" w:color="000000"/>
            </w:tcBorders>
            <w:shd w:val="clear" w:color="auto" w:fill="C5E0B3" w:themeFill="accent6" w:themeFillTint="66"/>
            <w:vAlign w:val="center"/>
          </w:tcPr>
          <w:p w:rsidR="00583DA6" w:rsidRDefault="006A45D9">
            <w:pPr>
              <w:widowControl w:val="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1,00</w:t>
            </w:r>
          </w:p>
        </w:tc>
      </w:tr>
      <w:tr w:rsidR="00583DA6">
        <w:trPr>
          <w:trHeight w:val="570"/>
        </w:trPr>
        <w:tc>
          <w:tcPr>
            <w:tcW w:w="4647" w:type="dxa"/>
            <w:tcBorders>
              <w:top w:val="single" w:sz="4" w:space="0" w:color="000000"/>
              <w:left w:val="single" w:sz="4" w:space="0" w:color="000000"/>
              <w:bottom w:val="single" w:sz="4" w:space="0" w:color="000000"/>
              <w:right w:val="dashed" w:sz="4" w:space="0" w:color="000000"/>
            </w:tcBorders>
            <w:shd w:val="clear" w:color="auto" w:fill="auto"/>
          </w:tcPr>
          <w:p w:rsidR="00583DA6" w:rsidRDefault="006A45D9">
            <w:pPr>
              <w:widowContro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"Развитие образования в Камчатском крае"</w:t>
            </w:r>
          </w:p>
        </w:tc>
        <w:tc>
          <w:tcPr>
            <w:tcW w:w="1089"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0,95</w:t>
            </w:r>
          </w:p>
        </w:tc>
        <w:tc>
          <w:tcPr>
            <w:tcW w:w="814" w:type="dxa"/>
            <w:tcBorders>
              <w:top w:val="single" w:sz="4" w:space="0" w:color="000000"/>
              <w:left w:val="dashed" w:sz="4" w:space="0" w:color="000000"/>
              <w:bottom w:val="single" w:sz="4" w:space="0" w:color="000000"/>
              <w:right w:val="dashed" w:sz="4" w:space="0" w:color="000000"/>
            </w:tcBorders>
            <w:shd w:val="clear" w:color="auto" w:fill="C5E0B3" w:themeFill="accent6" w:themeFillTint="66"/>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0,99</w:t>
            </w:r>
          </w:p>
        </w:tc>
        <w:tc>
          <w:tcPr>
            <w:tcW w:w="1703"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42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99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0,98</w:t>
            </w:r>
          </w:p>
        </w:tc>
        <w:tc>
          <w:tcPr>
            <w:tcW w:w="1485" w:type="dxa"/>
            <w:tcBorders>
              <w:top w:val="single" w:sz="4" w:space="0" w:color="000000"/>
              <w:left w:val="dashed" w:sz="4" w:space="0" w:color="000000"/>
              <w:bottom w:val="single" w:sz="4" w:space="0" w:color="000000"/>
              <w:right w:val="single" w:sz="4" w:space="0" w:color="000000"/>
            </w:tcBorders>
            <w:shd w:val="clear" w:color="auto" w:fill="C5E0B3" w:themeFill="accent6" w:themeFillTint="66"/>
            <w:vAlign w:val="center"/>
          </w:tcPr>
          <w:p w:rsidR="00583DA6" w:rsidRDefault="006A45D9">
            <w:pPr>
              <w:widowControl w:val="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1,00</w:t>
            </w:r>
          </w:p>
        </w:tc>
      </w:tr>
      <w:tr w:rsidR="00583DA6">
        <w:trPr>
          <w:trHeight w:val="405"/>
        </w:trPr>
        <w:tc>
          <w:tcPr>
            <w:tcW w:w="4647" w:type="dxa"/>
            <w:tcBorders>
              <w:top w:val="single" w:sz="4" w:space="0" w:color="000000"/>
              <w:left w:val="single" w:sz="4" w:space="0" w:color="000000"/>
              <w:bottom w:val="single" w:sz="4" w:space="0" w:color="000000"/>
              <w:right w:val="dashed" w:sz="4" w:space="0" w:color="000000"/>
            </w:tcBorders>
            <w:shd w:val="clear" w:color="auto" w:fill="auto"/>
          </w:tcPr>
          <w:p w:rsidR="00583DA6" w:rsidRDefault="006A45D9">
            <w:pPr>
              <w:widowContro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"Содействие занятости населения Камчатского края"</w:t>
            </w:r>
          </w:p>
        </w:tc>
        <w:tc>
          <w:tcPr>
            <w:tcW w:w="1089"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0,92</w:t>
            </w:r>
          </w:p>
        </w:tc>
        <w:tc>
          <w:tcPr>
            <w:tcW w:w="814" w:type="dxa"/>
            <w:tcBorders>
              <w:top w:val="single" w:sz="4" w:space="0" w:color="000000"/>
              <w:left w:val="dashed" w:sz="4" w:space="0" w:color="000000"/>
              <w:bottom w:val="single" w:sz="4" w:space="0" w:color="000000"/>
              <w:right w:val="dashed" w:sz="4" w:space="0" w:color="000000"/>
            </w:tcBorders>
            <w:shd w:val="clear" w:color="auto" w:fill="C5E0B3" w:themeFill="accent6" w:themeFillTint="66"/>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0,97</w:t>
            </w:r>
          </w:p>
        </w:tc>
        <w:tc>
          <w:tcPr>
            <w:tcW w:w="1703"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42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99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0,97</w:t>
            </w:r>
          </w:p>
        </w:tc>
        <w:tc>
          <w:tcPr>
            <w:tcW w:w="1485" w:type="dxa"/>
            <w:tcBorders>
              <w:top w:val="single" w:sz="4" w:space="0" w:color="000000"/>
              <w:left w:val="dashed" w:sz="4" w:space="0" w:color="000000"/>
              <w:bottom w:val="single" w:sz="4" w:space="0" w:color="000000"/>
              <w:right w:val="single" w:sz="4" w:space="0" w:color="000000"/>
            </w:tcBorders>
            <w:shd w:val="clear" w:color="auto" w:fill="C5E0B3" w:themeFill="accent6" w:themeFillTint="66"/>
            <w:vAlign w:val="center"/>
          </w:tcPr>
          <w:p w:rsidR="00583DA6" w:rsidRDefault="006A45D9">
            <w:pPr>
              <w:widowControl w:val="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0,99</w:t>
            </w:r>
          </w:p>
        </w:tc>
      </w:tr>
      <w:tr w:rsidR="00583DA6">
        <w:trPr>
          <w:trHeight w:val="375"/>
        </w:trPr>
        <w:tc>
          <w:tcPr>
            <w:tcW w:w="4647" w:type="dxa"/>
            <w:tcBorders>
              <w:top w:val="single" w:sz="4" w:space="0" w:color="000000"/>
              <w:left w:val="single" w:sz="4" w:space="0" w:color="000000"/>
              <w:bottom w:val="single" w:sz="4" w:space="0" w:color="000000"/>
              <w:right w:val="dashed" w:sz="4" w:space="0" w:color="000000"/>
            </w:tcBorders>
            <w:shd w:val="clear" w:color="auto" w:fill="auto"/>
          </w:tcPr>
          <w:p w:rsidR="00583DA6" w:rsidRDefault="006A45D9">
            <w:pPr>
              <w:widowContro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"Реализация государственной национальной политики и укрепление </w:t>
            </w:r>
            <w:r>
              <w:rPr>
                <w:rFonts w:ascii="Times New Roman" w:eastAsia="Times New Roman" w:hAnsi="Times New Roman"/>
                <w:sz w:val="24"/>
                <w:szCs w:val="24"/>
                <w:lang w:eastAsia="ru-RU"/>
              </w:rPr>
              <w:t>гражданского единства в Камчатском крае"</w:t>
            </w:r>
          </w:p>
        </w:tc>
        <w:tc>
          <w:tcPr>
            <w:tcW w:w="1089"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0,79</w:t>
            </w:r>
          </w:p>
        </w:tc>
        <w:tc>
          <w:tcPr>
            <w:tcW w:w="814" w:type="dxa"/>
            <w:tcBorders>
              <w:top w:val="single" w:sz="4" w:space="0" w:color="000000"/>
              <w:left w:val="dashed" w:sz="4" w:space="0" w:color="000000"/>
              <w:bottom w:val="single" w:sz="4" w:space="0" w:color="000000"/>
              <w:right w:val="dashed" w:sz="4" w:space="0" w:color="000000"/>
            </w:tcBorders>
            <w:shd w:val="clear" w:color="auto" w:fill="C5E0B3" w:themeFill="accent6" w:themeFillTint="66"/>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0,96</w:t>
            </w:r>
          </w:p>
        </w:tc>
        <w:tc>
          <w:tcPr>
            <w:tcW w:w="1703"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0,99</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42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99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0,93</w:t>
            </w:r>
          </w:p>
        </w:tc>
        <w:tc>
          <w:tcPr>
            <w:tcW w:w="1485" w:type="dxa"/>
            <w:tcBorders>
              <w:top w:val="single" w:sz="4" w:space="0" w:color="000000"/>
              <w:left w:val="dashed" w:sz="4" w:space="0" w:color="000000"/>
              <w:bottom w:val="single" w:sz="4" w:space="0" w:color="000000"/>
              <w:right w:val="single" w:sz="4" w:space="0" w:color="000000"/>
            </w:tcBorders>
            <w:shd w:val="clear" w:color="auto" w:fill="C5E0B3" w:themeFill="accent6" w:themeFillTint="66"/>
            <w:vAlign w:val="center"/>
          </w:tcPr>
          <w:p w:rsidR="00583DA6" w:rsidRDefault="006A45D9">
            <w:pPr>
              <w:widowControl w:val="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0,99</w:t>
            </w:r>
          </w:p>
        </w:tc>
      </w:tr>
      <w:tr w:rsidR="00583DA6">
        <w:trPr>
          <w:trHeight w:val="615"/>
        </w:trPr>
        <w:tc>
          <w:tcPr>
            <w:tcW w:w="4647" w:type="dxa"/>
            <w:tcBorders>
              <w:top w:val="single" w:sz="4" w:space="0" w:color="000000"/>
              <w:left w:val="single" w:sz="4" w:space="0" w:color="000000"/>
              <w:bottom w:val="single" w:sz="4" w:space="0" w:color="000000"/>
              <w:right w:val="dashed" w:sz="4" w:space="0" w:color="000000"/>
            </w:tcBorders>
            <w:shd w:val="clear" w:color="auto" w:fill="auto"/>
          </w:tcPr>
          <w:p w:rsidR="00583DA6" w:rsidRDefault="006A45D9">
            <w:pPr>
              <w:widowContro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"Семья и дети Камчатки"</w:t>
            </w:r>
          </w:p>
        </w:tc>
        <w:tc>
          <w:tcPr>
            <w:tcW w:w="1089"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0,958</w:t>
            </w:r>
          </w:p>
        </w:tc>
        <w:tc>
          <w:tcPr>
            <w:tcW w:w="814"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0,96</w:t>
            </w:r>
          </w:p>
        </w:tc>
        <w:tc>
          <w:tcPr>
            <w:tcW w:w="1703"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42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99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0,99</w:t>
            </w:r>
          </w:p>
        </w:tc>
        <w:tc>
          <w:tcPr>
            <w:tcW w:w="1485" w:type="dxa"/>
            <w:tcBorders>
              <w:top w:val="single" w:sz="4" w:space="0" w:color="000000"/>
              <w:left w:val="dashed" w:sz="4" w:space="0" w:color="000000"/>
              <w:bottom w:val="single" w:sz="4" w:space="0" w:color="000000"/>
              <w:right w:val="single" w:sz="4" w:space="0" w:color="000000"/>
            </w:tcBorders>
            <w:shd w:val="clear" w:color="auto" w:fill="auto"/>
            <w:vAlign w:val="center"/>
          </w:tcPr>
          <w:p w:rsidR="00583DA6" w:rsidRDefault="006A45D9">
            <w:pPr>
              <w:widowControl w:val="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0,99</w:t>
            </w:r>
          </w:p>
        </w:tc>
      </w:tr>
      <w:tr w:rsidR="00583DA6">
        <w:trPr>
          <w:trHeight w:val="375"/>
        </w:trPr>
        <w:tc>
          <w:tcPr>
            <w:tcW w:w="4647" w:type="dxa"/>
            <w:tcBorders>
              <w:top w:val="single" w:sz="4" w:space="0" w:color="000000"/>
              <w:left w:val="single" w:sz="4" w:space="0" w:color="000000"/>
              <w:bottom w:val="single" w:sz="4" w:space="0" w:color="000000"/>
              <w:right w:val="dashed" w:sz="4" w:space="0" w:color="000000"/>
            </w:tcBorders>
            <w:shd w:val="clear" w:color="auto" w:fill="auto"/>
          </w:tcPr>
          <w:p w:rsidR="00583DA6" w:rsidRDefault="006A45D9">
            <w:pPr>
              <w:widowContro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"Оказание содействия добровольному переселению в Камчатский край соотечественников, проживающих за рубежом"</w:t>
            </w:r>
          </w:p>
        </w:tc>
        <w:tc>
          <w:tcPr>
            <w:tcW w:w="1089"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0,98</w:t>
            </w:r>
          </w:p>
        </w:tc>
        <w:tc>
          <w:tcPr>
            <w:tcW w:w="814"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0,98</w:t>
            </w:r>
          </w:p>
        </w:tc>
        <w:tc>
          <w:tcPr>
            <w:tcW w:w="1703"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0,97</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0,97</w:t>
            </w:r>
          </w:p>
        </w:tc>
        <w:tc>
          <w:tcPr>
            <w:tcW w:w="142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99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0,98</w:t>
            </w:r>
          </w:p>
        </w:tc>
        <w:tc>
          <w:tcPr>
            <w:tcW w:w="1485" w:type="dxa"/>
            <w:tcBorders>
              <w:top w:val="single" w:sz="4" w:space="0" w:color="000000"/>
              <w:left w:val="dashed" w:sz="4" w:space="0" w:color="000000"/>
              <w:bottom w:val="single" w:sz="4" w:space="0" w:color="000000"/>
              <w:right w:val="single" w:sz="4" w:space="0" w:color="000000"/>
            </w:tcBorders>
            <w:shd w:val="clear" w:color="auto" w:fill="auto"/>
            <w:vAlign w:val="center"/>
          </w:tcPr>
          <w:p w:rsidR="00583DA6" w:rsidRDefault="006A45D9">
            <w:pPr>
              <w:widowControl w:val="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0,98</w:t>
            </w:r>
          </w:p>
        </w:tc>
      </w:tr>
      <w:tr w:rsidR="00583DA6">
        <w:trPr>
          <w:trHeight w:val="375"/>
        </w:trPr>
        <w:tc>
          <w:tcPr>
            <w:tcW w:w="4647" w:type="dxa"/>
            <w:tcBorders>
              <w:top w:val="single" w:sz="4" w:space="0" w:color="000000"/>
              <w:left w:val="single" w:sz="4" w:space="0" w:color="000000"/>
              <w:bottom w:val="single" w:sz="4" w:space="0" w:color="000000"/>
              <w:right w:val="dashed" w:sz="4" w:space="0" w:color="000000"/>
            </w:tcBorders>
            <w:shd w:val="clear" w:color="auto" w:fill="auto"/>
          </w:tcPr>
          <w:p w:rsidR="00583DA6" w:rsidRDefault="006A45D9">
            <w:pPr>
              <w:widowContro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"Развитие рыбохозяйственного комплекса Камчатского края"</w:t>
            </w:r>
          </w:p>
        </w:tc>
        <w:tc>
          <w:tcPr>
            <w:tcW w:w="1089"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0,96</w:t>
            </w:r>
          </w:p>
        </w:tc>
        <w:tc>
          <w:tcPr>
            <w:tcW w:w="814"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0,96</w:t>
            </w:r>
          </w:p>
        </w:tc>
        <w:tc>
          <w:tcPr>
            <w:tcW w:w="1703"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0,98</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0,98</w:t>
            </w:r>
          </w:p>
        </w:tc>
        <w:tc>
          <w:tcPr>
            <w:tcW w:w="142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99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0,98</w:t>
            </w:r>
          </w:p>
        </w:tc>
        <w:tc>
          <w:tcPr>
            <w:tcW w:w="1485" w:type="dxa"/>
            <w:tcBorders>
              <w:top w:val="single" w:sz="4" w:space="0" w:color="000000"/>
              <w:left w:val="dashed" w:sz="4" w:space="0" w:color="000000"/>
              <w:bottom w:val="single" w:sz="4" w:space="0" w:color="000000"/>
              <w:right w:val="single" w:sz="4" w:space="0" w:color="000000"/>
            </w:tcBorders>
            <w:shd w:val="clear" w:color="auto" w:fill="auto"/>
            <w:vAlign w:val="center"/>
          </w:tcPr>
          <w:p w:rsidR="00583DA6" w:rsidRDefault="006A45D9">
            <w:pPr>
              <w:widowControl w:val="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0,98</w:t>
            </w:r>
          </w:p>
        </w:tc>
      </w:tr>
      <w:tr w:rsidR="00583DA6">
        <w:trPr>
          <w:trHeight w:val="375"/>
        </w:trPr>
        <w:tc>
          <w:tcPr>
            <w:tcW w:w="4647" w:type="dxa"/>
            <w:tcBorders>
              <w:top w:val="single" w:sz="4" w:space="0" w:color="000000"/>
              <w:left w:val="single" w:sz="4" w:space="0" w:color="000000"/>
              <w:bottom w:val="single" w:sz="4" w:space="0" w:color="000000"/>
              <w:right w:val="dashed" w:sz="4" w:space="0" w:color="000000"/>
            </w:tcBorders>
            <w:shd w:val="clear" w:color="auto" w:fill="auto"/>
          </w:tcPr>
          <w:p w:rsidR="00583DA6" w:rsidRDefault="006A45D9">
            <w:pPr>
              <w:widowContro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"Управление государственными финансами Камчатского края"</w:t>
            </w:r>
          </w:p>
        </w:tc>
        <w:tc>
          <w:tcPr>
            <w:tcW w:w="1089"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0,93</w:t>
            </w:r>
          </w:p>
        </w:tc>
        <w:tc>
          <w:tcPr>
            <w:tcW w:w="814" w:type="dxa"/>
            <w:tcBorders>
              <w:top w:val="single" w:sz="4" w:space="0" w:color="000000"/>
              <w:left w:val="dashed" w:sz="4" w:space="0" w:color="000000"/>
              <w:bottom w:val="single" w:sz="4" w:space="0" w:color="000000"/>
              <w:right w:val="dashed" w:sz="4" w:space="0" w:color="000000"/>
            </w:tcBorders>
            <w:shd w:val="clear" w:color="auto" w:fill="C5E0B3" w:themeFill="accent6" w:themeFillTint="66"/>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0,94</w:t>
            </w:r>
          </w:p>
        </w:tc>
        <w:tc>
          <w:tcPr>
            <w:tcW w:w="1703"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42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99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0,98</w:t>
            </w:r>
          </w:p>
        </w:tc>
        <w:tc>
          <w:tcPr>
            <w:tcW w:w="1485" w:type="dxa"/>
            <w:tcBorders>
              <w:top w:val="single" w:sz="4" w:space="0" w:color="000000"/>
              <w:left w:val="dashed" w:sz="4" w:space="0" w:color="000000"/>
              <w:bottom w:val="single" w:sz="4" w:space="0" w:color="000000"/>
              <w:right w:val="single" w:sz="4" w:space="0" w:color="000000"/>
            </w:tcBorders>
            <w:shd w:val="clear" w:color="auto" w:fill="auto"/>
            <w:vAlign w:val="center"/>
          </w:tcPr>
          <w:p w:rsidR="00583DA6" w:rsidRDefault="006A45D9">
            <w:pPr>
              <w:widowControl w:val="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0,98</w:t>
            </w:r>
          </w:p>
        </w:tc>
      </w:tr>
      <w:tr w:rsidR="00583DA6">
        <w:trPr>
          <w:trHeight w:val="375"/>
        </w:trPr>
        <w:tc>
          <w:tcPr>
            <w:tcW w:w="4647" w:type="dxa"/>
            <w:tcBorders>
              <w:top w:val="single" w:sz="4" w:space="0" w:color="000000"/>
              <w:left w:val="single" w:sz="4" w:space="0" w:color="000000"/>
              <w:bottom w:val="single" w:sz="4" w:space="0" w:color="000000"/>
              <w:right w:val="dashed" w:sz="4" w:space="0" w:color="000000"/>
            </w:tcBorders>
            <w:shd w:val="clear" w:color="auto" w:fill="auto"/>
          </w:tcPr>
          <w:p w:rsidR="00583DA6" w:rsidRDefault="006A45D9">
            <w:pPr>
              <w:widowContro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"Развитие сельского</w:t>
            </w:r>
            <w:r>
              <w:rPr>
                <w:rFonts w:ascii="Times New Roman" w:eastAsia="Times New Roman" w:hAnsi="Times New Roman"/>
                <w:sz w:val="24"/>
                <w:szCs w:val="24"/>
                <w:lang w:eastAsia="ru-RU"/>
              </w:rPr>
              <w:t xml:space="preserve"> хозяйства и регулирование рынков сельскохозяйственной продукции, сырья и продовольствия Камчатского края"</w:t>
            </w:r>
          </w:p>
        </w:tc>
        <w:tc>
          <w:tcPr>
            <w:tcW w:w="1089"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0,94</w:t>
            </w:r>
          </w:p>
        </w:tc>
        <w:tc>
          <w:tcPr>
            <w:tcW w:w="814"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0,94</w:t>
            </w:r>
          </w:p>
        </w:tc>
        <w:tc>
          <w:tcPr>
            <w:tcW w:w="1703"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0,99</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0,99</w:t>
            </w:r>
          </w:p>
        </w:tc>
        <w:tc>
          <w:tcPr>
            <w:tcW w:w="142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99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0,98</w:t>
            </w:r>
          </w:p>
        </w:tc>
        <w:tc>
          <w:tcPr>
            <w:tcW w:w="1485" w:type="dxa"/>
            <w:tcBorders>
              <w:top w:val="single" w:sz="4" w:space="0" w:color="000000"/>
              <w:left w:val="dashed" w:sz="4" w:space="0" w:color="000000"/>
              <w:bottom w:val="single" w:sz="4" w:space="0" w:color="000000"/>
              <w:right w:val="single" w:sz="4" w:space="0" w:color="000000"/>
            </w:tcBorders>
            <w:shd w:val="clear" w:color="auto" w:fill="auto"/>
            <w:vAlign w:val="center"/>
          </w:tcPr>
          <w:p w:rsidR="00583DA6" w:rsidRDefault="006A45D9">
            <w:pPr>
              <w:widowControl w:val="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0,98</w:t>
            </w:r>
          </w:p>
        </w:tc>
      </w:tr>
      <w:tr w:rsidR="00583DA6">
        <w:trPr>
          <w:trHeight w:val="375"/>
        </w:trPr>
        <w:tc>
          <w:tcPr>
            <w:tcW w:w="4647" w:type="dxa"/>
            <w:tcBorders>
              <w:top w:val="single" w:sz="4" w:space="0" w:color="000000"/>
              <w:left w:val="single" w:sz="4" w:space="0" w:color="000000"/>
              <w:bottom w:val="single" w:sz="4" w:space="0" w:color="000000"/>
              <w:right w:val="dashed" w:sz="4" w:space="0" w:color="000000"/>
            </w:tcBorders>
            <w:shd w:val="clear" w:color="auto" w:fill="auto"/>
          </w:tcPr>
          <w:p w:rsidR="00583DA6" w:rsidRDefault="006A45D9">
            <w:pPr>
              <w:widowContro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"Развитие транспортной системы в Камчатском крае"</w:t>
            </w:r>
          </w:p>
        </w:tc>
        <w:tc>
          <w:tcPr>
            <w:tcW w:w="1089"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814" w:type="dxa"/>
            <w:tcBorders>
              <w:top w:val="single" w:sz="4" w:space="0" w:color="000000"/>
              <w:left w:val="dashed" w:sz="4" w:space="0" w:color="000000"/>
              <w:bottom w:val="single" w:sz="4" w:space="0" w:color="000000"/>
              <w:right w:val="dashed" w:sz="4" w:space="0" w:color="000000"/>
            </w:tcBorders>
            <w:shd w:val="clear" w:color="auto" w:fill="FFD966" w:themeFill="accent4" w:themeFillTint="99"/>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0,92</w:t>
            </w:r>
          </w:p>
        </w:tc>
        <w:tc>
          <w:tcPr>
            <w:tcW w:w="1703"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708" w:type="dxa"/>
            <w:tcBorders>
              <w:top w:val="single" w:sz="4" w:space="0" w:color="000000"/>
              <w:left w:val="dashed" w:sz="4" w:space="0" w:color="000000"/>
              <w:bottom w:val="single" w:sz="4" w:space="0" w:color="000000"/>
              <w:right w:val="dashed" w:sz="4" w:space="0" w:color="000000"/>
            </w:tcBorders>
            <w:shd w:val="clear" w:color="auto" w:fill="FFD966" w:themeFill="accent4" w:themeFillTint="99"/>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0,98</w:t>
            </w:r>
          </w:p>
        </w:tc>
        <w:tc>
          <w:tcPr>
            <w:tcW w:w="142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99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485" w:type="dxa"/>
            <w:tcBorders>
              <w:top w:val="single" w:sz="4" w:space="0" w:color="000000"/>
              <w:left w:val="dashed" w:sz="4" w:space="0" w:color="000000"/>
              <w:bottom w:val="single" w:sz="4" w:space="0" w:color="000000"/>
              <w:right w:val="single" w:sz="4" w:space="0" w:color="000000"/>
            </w:tcBorders>
            <w:shd w:val="clear" w:color="auto" w:fill="FFD966" w:themeFill="accent4" w:themeFillTint="99"/>
            <w:vAlign w:val="center"/>
          </w:tcPr>
          <w:p w:rsidR="00583DA6" w:rsidRDefault="006A45D9">
            <w:pPr>
              <w:widowControl w:val="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0,97</w:t>
            </w:r>
          </w:p>
        </w:tc>
      </w:tr>
      <w:tr w:rsidR="00583DA6">
        <w:trPr>
          <w:trHeight w:val="330"/>
        </w:trPr>
        <w:tc>
          <w:tcPr>
            <w:tcW w:w="4647" w:type="dxa"/>
            <w:tcBorders>
              <w:top w:val="single" w:sz="4" w:space="0" w:color="000000"/>
              <w:left w:val="single" w:sz="4" w:space="0" w:color="000000"/>
              <w:bottom w:val="single" w:sz="4" w:space="0" w:color="000000"/>
              <w:right w:val="dashed" w:sz="4" w:space="0" w:color="000000"/>
            </w:tcBorders>
            <w:shd w:val="clear" w:color="auto" w:fill="auto"/>
          </w:tcPr>
          <w:p w:rsidR="00583DA6" w:rsidRDefault="006A45D9">
            <w:pPr>
              <w:widowContro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"Развитие </w:t>
            </w:r>
            <w:r>
              <w:rPr>
                <w:rFonts w:ascii="Times New Roman" w:eastAsia="Times New Roman" w:hAnsi="Times New Roman"/>
                <w:sz w:val="24"/>
                <w:szCs w:val="24"/>
                <w:lang w:eastAsia="ru-RU"/>
              </w:rPr>
              <w:t>культуры в Камчатском крае"</w:t>
            </w:r>
          </w:p>
        </w:tc>
        <w:tc>
          <w:tcPr>
            <w:tcW w:w="1089"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0,98</w:t>
            </w:r>
          </w:p>
        </w:tc>
        <w:tc>
          <w:tcPr>
            <w:tcW w:w="814"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0,98</w:t>
            </w:r>
          </w:p>
        </w:tc>
        <w:tc>
          <w:tcPr>
            <w:tcW w:w="1703"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0,99</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0,99</w:t>
            </w:r>
          </w:p>
        </w:tc>
        <w:tc>
          <w:tcPr>
            <w:tcW w:w="142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0,93</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0,93</w:t>
            </w:r>
          </w:p>
        </w:tc>
        <w:tc>
          <w:tcPr>
            <w:tcW w:w="199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0,97</w:t>
            </w:r>
          </w:p>
        </w:tc>
        <w:tc>
          <w:tcPr>
            <w:tcW w:w="1485" w:type="dxa"/>
            <w:tcBorders>
              <w:top w:val="single" w:sz="4" w:space="0" w:color="000000"/>
              <w:left w:val="dashed" w:sz="4" w:space="0" w:color="000000"/>
              <w:bottom w:val="single" w:sz="4" w:space="0" w:color="000000"/>
              <w:right w:val="single" w:sz="4" w:space="0" w:color="000000"/>
            </w:tcBorders>
            <w:shd w:val="clear" w:color="auto" w:fill="auto"/>
            <w:vAlign w:val="center"/>
          </w:tcPr>
          <w:p w:rsidR="00583DA6" w:rsidRDefault="006A45D9">
            <w:pPr>
              <w:widowControl w:val="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0,97</w:t>
            </w:r>
          </w:p>
        </w:tc>
      </w:tr>
      <w:tr w:rsidR="00583DA6">
        <w:trPr>
          <w:trHeight w:val="330"/>
        </w:trPr>
        <w:tc>
          <w:tcPr>
            <w:tcW w:w="4647" w:type="dxa"/>
            <w:tcBorders>
              <w:top w:val="single" w:sz="4" w:space="0" w:color="000000"/>
              <w:left w:val="single" w:sz="4" w:space="0" w:color="000000"/>
              <w:bottom w:val="single" w:sz="4" w:space="0" w:color="000000"/>
              <w:right w:val="dashed" w:sz="4" w:space="0" w:color="000000"/>
            </w:tcBorders>
            <w:shd w:val="clear" w:color="auto" w:fill="auto"/>
          </w:tcPr>
          <w:p w:rsidR="00583DA6" w:rsidRDefault="006A45D9">
            <w:pPr>
              <w:widowContro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"Развитие внутреннего и въездного туризма в Камчатском крае"</w:t>
            </w:r>
          </w:p>
        </w:tc>
        <w:tc>
          <w:tcPr>
            <w:tcW w:w="1089"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0,89</w:t>
            </w:r>
          </w:p>
        </w:tc>
        <w:tc>
          <w:tcPr>
            <w:tcW w:w="814"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0,89</w:t>
            </w:r>
          </w:p>
        </w:tc>
        <w:tc>
          <w:tcPr>
            <w:tcW w:w="1703"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0,999</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42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99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0,96</w:t>
            </w:r>
          </w:p>
        </w:tc>
        <w:tc>
          <w:tcPr>
            <w:tcW w:w="1485" w:type="dxa"/>
            <w:tcBorders>
              <w:top w:val="single" w:sz="4" w:space="0" w:color="000000"/>
              <w:left w:val="dashed" w:sz="4" w:space="0" w:color="000000"/>
              <w:bottom w:val="single" w:sz="4" w:space="0" w:color="000000"/>
              <w:right w:val="single" w:sz="4" w:space="0" w:color="000000"/>
            </w:tcBorders>
            <w:shd w:val="clear" w:color="auto" w:fill="auto"/>
            <w:vAlign w:val="center"/>
          </w:tcPr>
          <w:p w:rsidR="00583DA6" w:rsidRDefault="006A45D9">
            <w:pPr>
              <w:widowControl w:val="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0,96</w:t>
            </w:r>
          </w:p>
        </w:tc>
      </w:tr>
      <w:tr w:rsidR="00583DA6">
        <w:trPr>
          <w:trHeight w:val="330"/>
        </w:trPr>
        <w:tc>
          <w:tcPr>
            <w:tcW w:w="4647" w:type="dxa"/>
            <w:tcBorders>
              <w:top w:val="single" w:sz="4" w:space="0" w:color="000000"/>
              <w:left w:val="single" w:sz="4" w:space="0" w:color="000000"/>
              <w:bottom w:val="single" w:sz="4" w:space="0" w:color="000000"/>
              <w:right w:val="dashed" w:sz="4" w:space="0" w:color="000000"/>
            </w:tcBorders>
            <w:shd w:val="clear" w:color="auto" w:fill="auto"/>
          </w:tcPr>
          <w:p w:rsidR="00583DA6" w:rsidRDefault="006A45D9">
            <w:pPr>
              <w:widowContro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"Цифровая трансформация в Камчатском крае"</w:t>
            </w:r>
          </w:p>
        </w:tc>
        <w:tc>
          <w:tcPr>
            <w:tcW w:w="1089"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0,887</w:t>
            </w:r>
          </w:p>
        </w:tc>
        <w:tc>
          <w:tcPr>
            <w:tcW w:w="814"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0,89</w:t>
            </w:r>
          </w:p>
        </w:tc>
        <w:tc>
          <w:tcPr>
            <w:tcW w:w="1703"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42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99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0,96</w:t>
            </w:r>
          </w:p>
        </w:tc>
        <w:tc>
          <w:tcPr>
            <w:tcW w:w="1485" w:type="dxa"/>
            <w:tcBorders>
              <w:top w:val="single" w:sz="4" w:space="0" w:color="000000"/>
              <w:left w:val="dashed" w:sz="4" w:space="0" w:color="000000"/>
              <w:bottom w:val="single" w:sz="4" w:space="0" w:color="000000"/>
              <w:right w:val="single" w:sz="4" w:space="0" w:color="000000"/>
            </w:tcBorders>
            <w:shd w:val="clear" w:color="auto" w:fill="auto"/>
            <w:vAlign w:val="center"/>
          </w:tcPr>
          <w:p w:rsidR="00583DA6" w:rsidRDefault="006A45D9">
            <w:pPr>
              <w:widowControl w:val="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0,96</w:t>
            </w:r>
          </w:p>
        </w:tc>
      </w:tr>
      <w:tr w:rsidR="00583DA6">
        <w:trPr>
          <w:trHeight w:val="330"/>
        </w:trPr>
        <w:tc>
          <w:tcPr>
            <w:tcW w:w="4647" w:type="dxa"/>
            <w:tcBorders>
              <w:top w:val="single" w:sz="4" w:space="0" w:color="000000"/>
              <w:left w:val="single" w:sz="4" w:space="0" w:color="000000"/>
              <w:bottom w:val="single" w:sz="4" w:space="0" w:color="000000"/>
              <w:right w:val="dashed" w:sz="4" w:space="0" w:color="000000"/>
            </w:tcBorders>
            <w:shd w:val="clear" w:color="auto" w:fill="auto"/>
          </w:tcPr>
          <w:p w:rsidR="00583DA6" w:rsidRDefault="006A45D9">
            <w:pPr>
              <w:widowContro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"Развитие лесного хозяйства Камчатского края"</w:t>
            </w:r>
          </w:p>
        </w:tc>
        <w:tc>
          <w:tcPr>
            <w:tcW w:w="1089"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0,90</w:t>
            </w:r>
          </w:p>
        </w:tc>
        <w:tc>
          <w:tcPr>
            <w:tcW w:w="814" w:type="dxa"/>
            <w:tcBorders>
              <w:top w:val="single" w:sz="4" w:space="0" w:color="000000"/>
              <w:left w:val="dashed" w:sz="4" w:space="0" w:color="000000"/>
              <w:bottom w:val="single" w:sz="4" w:space="0" w:color="000000"/>
              <w:right w:val="dashed" w:sz="4" w:space="0" w:color="000000"/>
            </w:tcBorders>
            <w:shd w:val="clear" w:color="auto" w:fill="FFD966" w:themeFill="accent4" w:themeFillTint="99"/>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0,89</w:t>
            </w:r>
          </w:p>
        </w:tc>
        <w:tc>
          <w:tcPr>
            <w:tcW w:w="1703"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42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99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0,97</w:t>
            </w:r>
          </w:p>
        </w:tc>
        <w:tc>
          <w:tcPr>
            <w:tcW w:w="1485" w:type="dxa"/>
            <w:tcBorders>
              <w:top w:val="single" w:sz="4" w:space="0" w:color="000000"/>
              <w:left w:val="dashed" w:sz="4" w:space="0" w:color="000000"/>
              <w:bottom w:val="single" w:sz="4" w:space="0" w:color="000000"/>
              <w:right w:val="single" w:sz="4" w:space="0" w:color="000000"/>
            </w:tcBorders>
            <w:shd w:val="clear" w:color="auto" w:fill="FFD966" w:themeFill="accent4" w:themeFillTint="99"/>
            <w:vAlign w:val="center"/>
          </w:tcPr>
          <w:p w:rsidR="00583DA6" w:rsidRDefault="006A45D9">
            <w:pPr>
              <w:widowControl w:val="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0,96</w:t>
            </w:r>
          </w:p>
        </w:tc>
      </w:tr>
      <w:tr w:rsidR="00583DA6">
        <w:trPr>
          <w:trHeight w:val="315"/>
        </w:trPr>
        <w:tc>
          <w:tcPr>
            <w:tcW w:w="4647" w:type="dxa"/>
            <w:tcBorders>
              <w:top w:val="single" w:sz="4" w:space="0" w:color="000000"/>
              <w:left w:val="single" w:sz="4" w:space="0" w:color="000000"/>
              <w:bottom w:val="single" w:sz="4" w:space="0" w:color="000000"/>
              <w:right w:val="dashed" w:sz="4" w:space="0" w:color="000000"/>
            </w:tcBorders>
            <w:shd w:val="clear" w:color="auto" w:fill="auto"/>
          </w:tcPr>
          <w:p w:rsidR="00583DA6" w:rsidRDefault="006A45D9">
            <w:pPr>
              <w:widowContro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"Развитие физической культуры и спорта в Камчатском крае"</w:t>
            </w:r>
          </w:p>
        </w:tc>
        <w:tc>
          <w:tcPr>
            <w:tcW w:w="1089"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0,94</w:t>
            </w:r>
          </w:p>
        </w:tc>
        <w:tc>
          <w:tcPr>
            <w:tcW w:w="814" w:type="dxa"/>
            <w:tcBorders>
              <w:top w:val="single" w:sz="4" w:space="0" w:color="000000"/>
              <w:left w:val="dashed" w:sz="4" w:space="0" w:color="000000"/>
              <w:bottom w:val="single" w:sz="4" w:space="0" w:color="000000"/>
              <w:right w:val="dashed" w:sz="4" w:space="0" w:color="000000"/>
            </w:tcBorders>
            <w:shd w:val="clear" w:color="auto" w:fill="C5E0B3" w:themeFill="accent6" w:themeFillTint="66"/>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0,99</w:t>
            </w:r>
          </w:p>
        </w:tc>
        <w:tc>
          <w:tcPr>
            <w:tcW w:w="1703"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0,99</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0,99</w:t>
            </w:r>
          </w:p>
        </w:tc>
        <w:tc>
          <w:tcPr>
            <w:tcW w:w="142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0,91</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0,91</w:t>
            </w:r>
          </w:p>
        </w:tc>
        <w:tc>
          <w:tcPr>
            <w:tcW w:w="199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0,95</w:t>
            </w:r>
          </w:p>
        </w:tc>
        <w:tc>
          <w:tcPr>
            <w:tcW w:w="1485" w:type="dxa"/>
            <w:tcBorders>
              <w:top w:val="single" w:sz="4" w:space="0" w:color="000000"/>
              <w:left w:val="dashed" w:sz="4" w:space="0" w:color="000000"/>
              <w:bottom w:val="single" w:sz="4" w:space="0" w:color="000000"/>
              <w:right w:val="single" w:sz="4" w:space="0" w:color="000000"/>
            </w:tcBorders>
            <w:shd w:val="clear" w:color="auto" w:fill="C5E0B3" w:themeFill="accent6" w:themeFillTint="66"/>
            <w:vAlign w:val="center"/>
          </w:tcPr>
          <w:p w:rsidR="00583DA6" w:rsidRDefault="006A45D9">
            <w:pPr>
              <w:widowControl w:val="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0,96</w:t>
            </w:r>
          </w:p>
        </w:tc>
      </w:tr>
      <w:tr w:rsidR="00583DA6">
        <w:trPr>
          <w:trHeight w:val="375"/>
        </w:trPr>
        <w:tc>
          <w:tcPr>
            <w:tcW w:w="4647" w:type="dxa"/>
            <w:tcBorders>
              <w:top w:val="single" w:sz="4" w:space="0" w:color="000000"/>
              <w:left w:val="single" w:sz="4" w:space="0" w:color="000000"/>
              <w:bottom w:val="single" w:sz="4" w:space="0" w:color="000000"/>
              <w:right w:val="dashed" w:sz="4" w:space="0" w:color="000000"/>
            </w:tcBorders>
            <w:shd w:val="clear" w:color="auto" w:fill="auto"/>
          </w:tcPr>
          <w:p w:rsidR="00583DA6" w:rsidRDefault="006A45D9">
            <w:pPr>
              <w:widowContro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"Развитие экономики и внешнеэкономической деятельности Камчатского </w:t>
            </w:r>
            <w:r>
              <w:rPr>
                <w:rFonts w:ascii="Times New Roman" w:eastAsia="Times New Roman" w:hAnsi="Times New Roman"/>
                <w:sz w:val="24"/>
                <w:szCs w:val="24"/>
                <w:lang w:eastAsia="ru-RU"/>
              </w:rPr>
              <w:t>края"</w:t>
            </w:r>
          </w:p>
        </w:tc>
        <w:tc>
          <w:tcPr>
            <w:tcW w:w="1089"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0,97</w:t>
            </w:r>
          </w:p>
        </w:tc>
        <w:tc>
          <w:tcPr>
            <w:tcW w:w="814"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0,97</w:t>
            </w:r>
          </w:p>
        </w:tc>
        <w:tc>
          <w:tcPr>
            <w:tcW w:w="1703"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42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0,90</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0,90</w:t>
            </w:r>
          </w:p>
        </w:tc>
        <w:tc>
          <w:tcPr>
            <w:tcW w:w="199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0,96</w:t>
            </w:r>
          </w:p>
        </w:tc>
        <w:tc>
          <w:tcPr>
            <w:tcW w:w="1485" w:type="dxa"/>
            <w:tcBorders>
              <w:top w:val="single" w:sz="4" w:space="0" w:color="000000"/>
              <w:left w:val="dashed" w:sz="4" w:space="0" w:color="000000"/>
              <w:bottom w:val="single" w:sz="4" w:space="0" w:color="000000"/>
              <w:right w:val="single" w:sz="4" w:space="0" w:color="000000"/>
            </w:tcBorders>
            <w:shd w:val="clear" w:color="auto" w:fill="auto"/>
            <w:vAlign w:val="center"/>
          </w:tcPr>
          <w:p w:rsidR="00583DA6" w:rsidRDefault="006A45D9">
            <w:pPr>
              <w:widowControl w:val="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0,96</w:t>
            </w:r>
          </w:p>
        </w:tc>
      </w:tr>
      <w:tr w:rsidR="00583DA6">
        <w:trPr>
          <w:trHeight w:val="630"/>
        </w:trPr>
        <w:tc>
          <w:tcPr>
            <w:tcW w:w="4647" w:type="dxa"/>
            <w:tcBorders>
              <w:top w:val="single" w:sz="4" w:space="0" w:color="000000"/>
              <w:left w:val="single" w:sz="4" w:space="0" w:color="000000"/>
              <w:bottom w:val="single" w:sz="4" w:space="0" w:color="000000"/>
              <w:right w:val="dashed" w:sz="4" w:space="0" w:color="000000"/>
            </w:tcBorders>
            <w:shd w:val="clear" w:color="auto" w:fill="auto"/>
          </w:tcPr>
          <w:p w:rsidR="00583DA6" w:rsidRDefault="006A45D9">
            <w:pPr>
              <w:widowContro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"Совершенствование управления имуществом, находящимся в государственной собственности Камчатского края"</w:t>
            </w:r>
          </w:p>
        </w:tc>
        <w:tc>
          <w:tcPr>
            <w:tcW w:w="1089"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0,98</w:t>
            </w:r>
          </w:p>
        </w:tc>
        <w:tc>
          <w:tcPr>
            <w:tcW w:w="814"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0,98</w:t>
            </w:r>
          </w:p>
        </w:tc>
        <w:tc>
          <w:tcPr>
            <w:tcW w:w="1703"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0,98</w:t>
            </w:r>
          </w:p>
        </w:tc>
        <w:tc>
          <w:tcPr>
            <w:tcW w:w="708" w:type="dxa"/>
            <w:tcBorders>
              <w:top w:val="single" w:sz="4" w:space="0" w:color="000000"/>
              <w:left w:val="dashed" w:sz="4" w:space="0" w:color="000000"/>
              <w:bottom w:val="single" w:sz="4" w:space="0" w:color="000000"/>
              <w:right w:val="dashed" w:sz="4" w:space="0" w:color="000000"/>
            </w:tcBorders>
            <w:shd w:val="clear" w:color="auto" w:fill="FFD966" w:themeFill="accent4" w:themeFillTint="99"/>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0,97</w:t>
            </w:r>
          </w:p>
        </w:tc>
        <w:tc>
          <w:tcPr>
            <w:tcW w:w="142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0,91</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0,91</w:t>
            </w:r>
          </w:p>
        </w:tc>
        <w:tc>
          <w:tcPr>
            <w:tcW w:w="199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0,96</w:t>
            </w:r>
          </w:p>
        </w:tc>
        <w:tc>
          <w:tcPr>
            <w:tcW w:w="1485" w:type="dxa"/>
            <w:tcBorders>
              <w:top w:val="single" w:sz="4" w:space="0" w:color="000000"/>
              <w:left w:val="dashed" w:sz="4" w:space="0" w:color="000000"/>
              <w:bottom w:val="single" w:sz="4" w:space="0" w:color="000000"/>
              <w:right w:val="single" w:sz="4" w:space="0" w:color="000000"/>
            </w:tcBorders>
            <w:shd w:val="clear" w:color="auto" w:fill="FFD966" w:themeFill="accent4" w:themeFillTint="99"/>
            <w:vAlign w:val="center"/>
          </w:tcPr>
          <w:p w:rsidR="00583DA6" w:rsidRDefault="006A45D9">
            <w:pPr>
              <w:widowControl w:val="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0,95</w:t>
            </w:r>
          </w:p>
        </w:tc>
      </w:tr>
      <w:tr w:rsidR="00583DA6">
        <w:trPr>
          <w:trHeight w:val="375"/>
        </w:trPr>
        <w:tc>
          <w:tcPr>
            <w:tcW w:w="4647" w:type="dxa"/>
            <w:tcBorders>
              <w:top w:val="single" w:sz="4" w:space="0" w:color="000000"/>
              <w:left w:val="single" w:sz="4" w:space="0" w:color="000000"/>
              <w:bottom w:val="single" w:sz="4" w:space="0" w:color="000000"/>
              <w:right w:val="dashed" w:sz="4" w:space="0" w:color="000000"/>
            </w:tcBorders>
            <w:shd w:val="clear" w:color="auto" w:fill="auto"/>
            <w:vAlign w:val="center"/>
          </w:tcPr>
          <w:p w:rsidR="00583DA6" w:rsidRDefault="006A45D9">
            <w:pPr>
              <w:widowContro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"Обращение с отходами производства и потребления в Камчатском </w:t>
            </w:r>
            <w:r>
              <w:rPr>
                <w:rFonts w:ascii="Times New Roman" w:eastAsia="Times New Roman" w:hAnsi="Times New Roman"/>
                <w:sz w:val="24"/>
                <w:szCs w:val="24"/>
                <w:lang w:eastAsia="ru-RU"/>
              </w:rPr>
              <w:t>крае"</w:t>
            </w:r>
          </w:p>
        </w:tc>
        <w:tc>
          <w:tcPr>
            <w:tcW w:w="1089"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0,92</w:t>
            </w:r>
          </w:p>
        </w:tc>
        <w:tc>
          <w:tcPr>
            <w:tcW w:w="814"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0,92</w:t>
            </w:r>
          </w:p>
        </w:tc>
        <w:tc>
          <w:tcPr>
            <w:tcW w:w="1703"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42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0,93</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0,93</w:t>
            </w:r>
          </w:p>
        </w:tc>
        <w:tc>
          <w:tcPr>
            <w:tcW w:w="199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0,95</w:t>
            </w:r>
          </w:p>
        </w:tc>
        <w:tc>
          <w:tcPr>
            <w:tcW w:w="1485" w:type="dxa"/>
            <w:tcBorders>
              <w:top w:val="single" w:sz="4" w:space="0" w:color="000000"/>
              <w:left w:val="dashed" w:sz="4" w:space="0" w:color="000000"/>
              <w:bottom w:val="single" w:sz="4" w:space="0" w:color="000000"/>
              <w:right w:val="single" w:sz="4" w:space="0" w:color="000000"/>
            </w:tcBorders>
            <w:shd w:val="clear" w:color="auto" w:fill="auto"/>
            <w:vAlign w:val="center"/>
          </w:tcPr>
          <w:p w:rsidR="00583DA6" w:rsidRDefault="006A45D9">
            <w:pPr>
              <w:widowControl w:val="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0,95</w:t>
            </w:r>
          </w:p>
        </w:tc>
      </w:tr>
      <w:tr w:rsidR="00583DA6">
        <w:trPr>
          <w:trHeight w:val="330"/>
        </w:trPr>
        <w:tc>
          <w:tcPr>
            <w:tcW w:w="4647" w:type="dxa"/>
            <w:tcBorders>
              <w:top w:val="single" w:sz="4" w:space="0" w:color="000000"/>
              <w:left w:val="single" w:sz="4" w:space="0" w:color="000000"/>
              <w:bottom w:val="single" w:sz="4" w:space="0" w:color="000000"/>
              <w:right w:val="dashed" w:sz="4" w:space="0" w:color="000000"/>
            </w:tcBorders>
            <w:shd w:val="clear" w:color="auto" w:fill="auto"/>
          </w:tcPr>
          <w:p w:rsidR="00583DA6" w:rsidRDefault="006A45D9">
            <w:pPr>
              <w:widowContro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"Социальное и экономическое развитие территории с особым статусом "Корякский округ"</w:t>
            </w:r>
          </w:p>
        </w:tc>
        <w:tc>
          <w:tcPr>
            <w:tcW w:w="1089"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0,94</w:t>
            </w:r>
          </w:p>
        </w:tc>
        <w:tc>
          <w:tcPr>
            <w:tcW w:w="814" w:type="dxa"/>
            <w:tcBorders>
              <w:top w:val="single" w:sz="4" w:space="0" w:color="000000"/>
              <w:left w:val="dashed" w:sz="4" w:space="0" w:color="000000"/>
              <w:bottom w:val="single" w:sz="4" w:space="0" w:color="000000"/>
              <w:right w:val="dashed" w:sz="4" w:space="0" w:color="000000"/>
            </w:tcBorders>
            <w:shd w:val="clear" w:color="auto" w:fill="FFD966" w:themeFill="accent4" w:themeFillTint="99"/>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0,89</w:t>
            </w:r>
          </w:p>
        </w:tc>
        <w:tc>
          <w:tcPr>
            <w:tcW w:w="1703"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0,99</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42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0,91</w:t>
            </w:r>
          </w:p>
        </w:tc>
        <w:tc>
          <w:tcPr>
            <w:tcW w:w="708" w:type="dxa"/>
            <w:tcBorders>
              <w:top w:val="single" w:sz="4" w:space="0" w:color="000000"/>
              <w:left w:val="dashed" w:sz="4" w:space="0" w:color="000000"/>
              <w:bottom w:val="single" w:sz="4" w:space="0" w:color="000000"/>
              <w:right w:val="dashed" w:sz="4" w:space="0" w:color="000000"/>
            </w:tcBorders>
            <w:shd w:val="clear" w:color="auto" w:fill="C5E0B3" w:themeFill="accent6" w:themeFillTint="66"/>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0,93</w:t>
            </w:r>
          </w:p>
        </w:tc>
        <w:tc>
          <w:tcPr>
            <w:tcW w:w="199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0,95</w:t>
            </w:r>
          </w:p>
        </w:tc>
        <w:tc>
          <w:tcPr>
            <w:tcW w:w="1485" w:type="dxa"/>
            <w:tcBorders>
              <w:top w:val="single" w:sz="4" w:space="0" w:color="000000"/>
              <w:left w:val="dashed" w:sz="4" w:space="0" w:color="000000"/>
              <w:bottom w:val="single" w:sz="4" w:space="0" w:color="000000"/>
              <w:right w:val="single" w:sz="4" w:space="0" w:color="000000"/>
            </w:tcBorders>
            <w:shd w:val="clear" w:color="auto" w:fill="FFD966" w:themeFill="accent4" w:themeFillTint="99"/>
            <w:vAlign w:val="center"/>
          </w:tcPr>
          <w:p w:rsidR="00583DA6" w:rsidRDefault="006A45D9">
            <w:pPr>
              <w:widowControl w:val="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0,94</w:t>
            </w:r>
          </w:p>
        </w:tc>
      </w:tr>
      <w:tr w:rsidR="00583DA6">
        <w:trPr>
          <w:trHeight w:val="375"/>
        </w:trPr>
        <w:tc>
          <w:tcPr>
            <w:tcW w:w="4647" w:type="dxa"/>
            <w:tcBorders>
              <w:top w:val="single" w:sz="4" w:space="0" w:color="000000"/>
              <w:left w:val="single" w:sz="4" w:space="0" w:color="000000"/>
              <w:bottom w:val="single" w:sz="4" w:space="0" w:color="000000"/>
              <w:right w:val="dashed" w:sz="4" w:space="0" w:color="000000"/>
            </w:tcBorders>
            <w:shd w:val="clear" w:color="auto" w:fill="auto"/>
          </w:tcPr>
          <w:p w:rsidR="00583DA6" w:rsidRDefault="006A45D9">
            <w:pPr>
              <w:widowContro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"Комплексное развитие сельских территорий Камчатского края"</w:t>
            </w:r>
          </w:p>
        </w:tc>
        <w:tc>
          <w:tcPr>
            <w:tcW w:w="1089"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0,818</w:t>
            </w:r>
          </w:p>
        </w:tc>
        <w:tc>
          <w:tcPr>
            <w:tcW w:w="814"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0,82</w:t>
            </w:r>
          </w:p>
        </w:tc>
        <w:tc>
          <w:tcPr>
            <w:tcW w:w="1703"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42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199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0,94</w:t>
            </w:r>
          </w:p>
        </w:tc>
        <w:tc>
          <w:tcPr>
            <w:tcW w:w="1485" w:type="dxa"/>
            <w:tcBorders>
              <w:top w:val="single" w:sz="4" w:space="0" w:color="000000"/>
              <w:left w:val="dashed" w:sz="4" w:space="0" w:color="000000"/>
              <w:bottom w:val="single" w:sz="4" w:space="0" w:color="000000"/>
              <w:right w:val="single" w:sz="4" w:space="0" w:color="000000"/>
            </w:tcBorders>
            <w:shd w:val="clear" w:color="auto" w:fill="auto"/>
            <w:vAlign w:val="center"/>
          </w:tcPr>
          <w:p w:rsidR="00583DA6" w:rsidRDefault="006A45D9">
            <w:pPr>
              <w:widowControl w:val="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0,94</w:t>
            </w:r>
          </w:p>
        </w:tc>
      </w:tr>
      <w:tr w:rsidR="00583DA6">
        <w:trPr>
          <w:trHeight w:val="375"/>
        </w:trPr>
        <w:tc>
          <w:tcPr>
            <w:tcW w:w="4647" w:type="dxa"/>
            <w:tcBorders>
              <w:top w:val="single" w:sz="4" w:space="0" w:color="000000"/>
              <w:left w:val="single" w:sz="4" w:space="0" w:color="000000"/>
              <w:bottom w:val="single" w:sz="4" w:space="0" w:color="000000"/>
              <w:right w:val="dashed" w:sz="4" w:space="0" w:color="000000"/>
            </w:tcBorders>
            <w:shd w:val="clear" w:color="auto" w:fill="auto"/>
          </w:tcPr>
          <w:p w:rsidR="00583DA6" w:rsidRDefault="006A45D9">
            <w:pPr>
              <w:widowContro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"Охрана окружающей среды, воспроизводство и использование природных ресурсов в Камчатском крае"</w:t>
            </w:r>
          </w:p>
        </w:tc>
        <w:tc>
          <w:tcPr>
            <w:tcW w:w="1089"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0,89</w:t>
            </w:r>
          </w:p>
        </w:tc>
        <w:tc>
          <w:tcPr>
            <w:tcW w:w="814"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0,89</w:t>
            </w:r>
          </w:p>
        </w:tc>
        <w:tc>
          <w:tcPr>
            <w:tcW w:w="1703"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0,99</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0,99</w:t>
            </w:r>
          </w:p>
        </w:tc>
        <w:tc>
          <w:tcPr>
            <w:tcW w:w="142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0,90</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0,90</w:t>
            </w:r>
          </w:p>
        </w:tc>
        <w:tc>
          <w:tcPr>
            <w:tcW w:w="199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0,93</w:t>
            </w:r>
          </w:p>
        </w:tc>
        <w:tc>
          <w:tcPr>
            <w:tcW w:w="1485" w:type="dxa"/>
            <w:tcBorders>
              <w:top w:val="single" w:sz="4" w:space="0" w:color="000000"/>
              <w:left w:val="dashed" w:sz="4" w:space="0" w:color="000000"/>
              <w:bottom w:val="single" w:sz="4" w:space="0" w:color="000000"/>
              <w:right w:val="single" w:sz="4" w:space="0" w:color="000000"/>
            </w:tcBorders>
            <w:shd w:val="clear" w:color="auto" w:fill="auto"/>
            <w:vAlign w:val="center"/>
          </w:tcPr>
          <w:p w:rsidR="00583DA6" w:rsidRDefault="006A45D9">
            <w:pPr>
              <w:widowControl w:val="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0,93</w:t>
            </w:r>
          </w:p>
        </w:tc>
      </w:tr>
      <w:tr w:rsidR="00583DA6">
        <w:trPr>
          <w:trHeight w:val="375"/>
        </w:trPr>
        <w:tc>
          <w:tcPr>
            <w:tcW w:w="4647" w:type="dxa"/>
            <w:tcBorders>
              <w:top w:val="single" w:sz="4" w:space="0" w:color="000000"/>
              <w:left w:val="single" w:sz="4" w:space="0" w:color="000000"/>
              <w:bottom w:val="single" w:sz="4" w:space="0" w:color="000000"/>
              <w:right w:val="dashed" w:sz="4" w:space="0" w:color="000000"/>
            </w:tcBorders>
            <w:shd w:val="clear" w:color="auto" w:fill="auto"/>
          </w:tcPr>
          <w:p w:rsidR="00583DA6" w:rsidRDefault="006A45D9">
            <w:pPr>
              <w:widowContro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"Безопасная Камчатка"</w:t>
            </w:r>
          </w:p>
        </w:tc>
        <w:tc>
          <w:tcPr>
            <w:tcW w:w="1089"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0,73</w:t>
            </w:r>
          </w:p>
        </w:tc>
        <w:tc>
          <w:tcPr>
            <w:tcW w:w="814" w:type="dxa"/>
            <w:tcBorders>
              <w:top w:val="single" w:sz="4" w:space="0" w:color="000000"/>
              <w:left w:val="dashed" w:sz="4" w:space="0" w:color="000000"/>
              <w:bottom w:val="single" w:sz="4" w:space="0" w:color="000000"/>
              <w:right w:val="dashed" w:sz="4" w:space="0" w:color="000000"/>
            </w:tcBorders>
            <w:shd w:val="clear" w:color="auto" w:fill="C5E0B3" w:themeFill="accent6" w:themeFillTint="66"/>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0,87</w:t>
            </w:r>
          </w:p>
        </w:tc>
        <w:tc>
          <w:tcPr>
            <w:tcW w:w="1703"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0,99</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0,99</w:t>
            </w:r>
          </w:p>
        </w:tc>
        <w:tc>
          <w:tcPr>
            <w:tcW w:w="142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708" w:type="dxa"/>
            <w:tcBorders>
              <w:top w:val="single" w:sz="4" w:space="0" w:color="000000"/>
              <w:left w:val="dashed" w:sz="4" w:space="0" w:color="000000"/>
              <w:bottom w:val="single" w:sz="4" w:space="0" w:color="000000"/>
              <w:right w:val="dashed" w:sz="4" w:space="0" w:color="000000"/>
            </w:tcBorders>
            <w:shd w:val="clear" w:color="auto" w:fill="FFD966" w:themeFill="accent4" w:themeFillTint="99"/>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0,92</w:t>
            </w:r>
          </w:p>
        </w:tc>
        <w:tc>
          <w:tcPr>
            <w:tcW w:w="199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0,90</w:t>
            </w:r>
          </w:p>
        </w:tc>
        <w:tc>
          <w:tcPr>
            <w:tcW w:w="1485" w:type="dxa"/>
            <w:tcBorders>
              <w:top w:val="single" w:sz="4" w:space="0" w:color="000000"/>
              <w:left w:val="dashed" w:sz="4" w:space="0" w:color="000000"/>
              <w:bottom w:val="single" w:sz="4" w:space="0" w:color="000000"/>
              <w:right w:val="single" w:sz="4" w:space="0" w:color="000000"/>
            </w:tcBorders>
            <w:shd w:val="clear" w:color="auto" w:fill="C5E0B3" w:themeFill="accent6" w:themeFillTint="66"/>
            <w:vAlign w:val="center"/>
          </w:tcPr>
          <w:p w:rsidR="00583DA6" w:rsidRDefault="006A45D9">
            <w:pPr>
              <w:widowControl w:val="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0,93</w:t>
            </w:r>
          </w:p>
        </w:tc>
      </w:tr>
      <w:tr w:rsidR="00583DA6">
        <w:trPr>
          <w:trHeight w:val="375"/>
        </w:trPr>
        <w:tc>
          <w:tcPr>
            <w:tcW w:w="4647" w:type="dxa"/>
            <w:tcBorders>
              <w:top w:val="single" w:sz="4" w:space="0" w:color="000000"/>
              <w:left w:val="single" w:sz="4" w:space="0" w:color="000000"/>
              <w:bottom w:val="single" w:sz="4" w:space="0" w:color="000000"/>
              <w:right w:val="dashed" w:sz="4" w:space="0" w:color="000000"/>
            </w:tcBorders>
            <w:shd w:val="clear" w:color="auto" w:fill="auto"/>
          </w:tcPr>
          <w:p w:rsidR="00583DA6" w:rsidRDefault="006A45D9">
            <w:pPr>
              <w:widowContro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"Энергоэффективность, развитие </w:t>
            </w:r>
            <w:r>
              <w:rPr>
                <w:rFonts w:ascii="Times New Roman" w:eastAsia="Times New Roman" w:hAnsi="Times New Roman"/>
                <w:sz w:val="24"/>
                <w:szCs w:val="24"/>
                <w:lang w:eastAsia="ru-RU"/>
              </w:rPr>
              <w:t>энергетики и коммунального хозяйства, обеспечение жителей населенных пунктов Камчатского края коммунальными услугами"</w:t>
            </w:r>
          </w:p>
        </w:tc>
        <w:tc>
          <w:tcPr>
            <w:tcW w:w="1089"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0,99</w:t>
            </w:r>
          </w:p>
        </w:tc>
        <w:tc>
          <w:tcPr>
            <w:tcW w:w="814"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0,99</w:t>
            </w:r>
          </w:p>
        </w:tc>
        <w:tc>
          <w:tcPr>
            <w:tcW w:w="1703"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0,98</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0,99</w:t>
            </w:r>
          </w:p>
        </w:tc>
        <w:tc>
          <w:tcPr>
            <w:tcW w:w="142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0,79</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0,79</w:t>
            </w:r>
          </w:p>
        </w:tc>
        <w:tc>
          <w:tcPr>
            <w:tcW w:w="199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0,92</w:t>
            </w:r>
          </w:p>
        </w:tc>
        <w:tc>
          <w:tcPr>
            <w:tcW w:w="1485" w:type="dxa"/>
            <w:tcBorders>
              <w:top w:val="single" w:sz="4" w:space="0" w:color="000000"/>
              <w:left w:val="dashed" w:sz="4" w:space="0" w:color="000000"/>
              <w:bottom w:val="single" w:sz="4" w:space="0" w:color="000000"/>
              <w:right w:val="single" w:sz="4" w:space="0" w:color="000000"/>
            </w:tcBorders>
            <w:shd w:val="clear" w:color="auto" w:fill="auto"/>
            <w:vAlign w:val="center"/>
          </w:tcPr>
          <w:p w:rsidR="00583DA6" w:rsidRDefault="006A45D9">
            <w:pPr>
              <w:widowControl w:val="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0,92</w:t>
            </w:r>
          </w:p>
        </w:tc>
      </w:tr>
      <w:tr w:rsidR="00583DA6">
        <w:trPr>
          <w:trHeight w:val="330"/>
        </w:trPr>
        <w:tc>
          <w:tcPr>
            <w:tcW w:w="4647" w:type="dxa"/>
            <w:tcBorders>
              <w:top w:val="single" w:sz="4" w:space="0" w:color="000000"/>
              <w:left w:val="single" w:sz="4" w:space="0" w:color="000000"/>
              <w:bottom w:val="single" w:sz="4" w:space="0" w:color="000000"/>
              <w:right w:val="dashed" w:sz="4" w:space="0" w:color="000000"/>
            </w:tcBorders>
            <w:shd w:val="clear" w:color="auto" w:fill="auto"/>
          </w:tcPr>
          <w:p w:rsidR="00583DA6" w:rsidRDefault="006A45D9">
            <w:pPr>
              <w:widowContro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"Развитие здравоохранения Камчатского края"</w:t>
            </w:r>
          </w:p>
        </w:tc>
        <w:tc>
          <w:tcPr>
            <w:tcW w:w="1089"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0,94</w:t>
            </w:r>
          </w:p>
        </w:tc>
        <w:tc>
          <w:tcPr>
            <w:tcW w:w="814"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0,94</w:t>
            </w:r>
          </w:p>
        </w:tc>
        <w:tc>
          <w:tcPr>
            <w:tcW w:w="1703"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0,94</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0,94</w:t>
            </w:r>
          </w:p>
        </w:tc>
        <w:tc>
          <w:tcPr>
            <w:tcW w:w="142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0,89</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0,89</w:t>
            </w:r>
          </w:p>
        </w:tc>
        <w:tc>
          <w:tcPr>
            <w:tcW w:w="199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0,92</w:t>
            </w:r>
          </w:p>
        </w:tc>
        <w:tc>
          <w:tcPr>
            <w:tcW w:w="1485" w:type="dxa"/>
            <w:tcBorders>
              <w:top w:val="single" w:sz="4" w:space="0" w:color="000000"/>
              <w:left w:val="dashed" w:sz="4" w:space="0" w:color="000000"/>
              <w:bottom w:val="single" w:sz="4" w:space="0" w:color="000000"/>
              <w:right w:val="single" w:sz="4" w:space="0" w:color="000000"/>
            </w:tcBorders>
            <w:shd w:val="clear" w:color="auto" w:fill="auto"/>
            <w:vAlign w:val="center"/>
          </w:tcPr>
          <w:p w:rsidR="00583DA6" w:rsidRDefault="006A45D9">
            <w:pPr>
              <w:widowControl w:val="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0,92</w:t>
            </w:r>
          </w:p>
        </w:tc>
      </w:tr>
      <w:tr w:rsidR="00583DA6">
        <w:trPr>
          <w:trHeight w:val="345"/>
        </w:trPr>
        <w:tc>
          <w:tcPr>
            <w:tcW w:w="4647" w:type="dxa"/>
            <w:tcBorders>
              <w:top w:val="single" w:sz="4" w:space="0" w:color="000000"/>
              <w:left w:val="single" w:sz="4" w:space="0" w:color="000000"/>
              <w:bottom w:val="single" w:sz="4" w:space="0" w:color="000000"/>
              <w:right w:val="dashed" w:sz="4" w:space="0" w:color="000000"/>
            </w:tcBorders>
            <w:shd w:val="clear" w:color="auto" w:fill="auto"/>
          </w:tcPr>
          <w:p w:rsidR="00583DA6" w:rsidRDefault="006A45D9">
            <w:pPr>
              <w:widowContro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"Социальная </w:t>
            </w:r>
            <w:r>
              <w:rPr>
                <w:rFonts w:ascii="Times New Roman" w:eastAsia="Times New Roman" w:hAnsi="Times New Roman"/>
                <w:sz w:val="24"/>
                <w:szCs w:val="24"/>
                <w:lang w:eastAsia="ru-RU"/>
              </w:rPr>
              <w:t>поддержка граждан в Камчатском крае"</w:t>
            </w:r>
          </w:p>
        </w:tc>
        <w:tc>
          <w:tcPr>
            <w:tcW w:w="1089"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0,968</w:t>
            </w:r>
          </w:p>
        </w:tc>
        <w:tc>
          <w:tcPr>
            <w:tcW w:w="814"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0,97</w:t>
            </w:r>
          </w:p>
        </w:tc>
        <w:tc>
          <w:tcPr>
            <w:tcW w:w="1703"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w:t>
            </w:r>
          </w:p>
        </w:tc>
        <w:tc>
          <w:tcPr>
            <w:tcW w:w="708" w:type="dxa"/>
            <w:tcBorders>
              <w:top w:val="single" w:sz="4" w:space="0" w:color="000000"/>
              <w:left w:val="dashed" w:sz="4" w:space="0" w:color="000000"/>
              <w:bottom w:val="single" w:sz="4" w:space="0" w:color="000000"/>
              <w:right w:val="dashed" w:sz="4" w:space="0" w:color="000000"/>
            </w:tcBorders>
            <w:shd w:val="clear" w:color="auto" w:fill="FFD966" w:themeFill="accent4" w:themeFillTint="99"/>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0,99</w:t>
            </w:r>
          </w:p>
        </w:tc>
        <w:tc>
          <w:tcPr>
            <w:tcW w:w="142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0,75</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0,75</w:t>
            </w:r>
          </w:p>
        </w:tc>
        <w:tc>
          <w:tcPr>
            <w:tcW w:w="199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0,90</w:t>
            </w:r>
          </w:p>
        </w:tc>
        <w:tc>
          <w:tcPr>
            <w:tcW w:w="1485" w:type="dxa"/>
            <w:tcBorders>
              <w:top w:val="single" w:sz="4" w:space="0" w:color="000000"/>
              <w:left w:val="dashed" w:sz="4" w:space="0" w:color="000000"/>
              <w:bottom w:val="single" w:sz="4" w:space="0" w:color="000000"/>
              <w:right w:val="single" w:sz="4" w:space="0" w:color="000000"/>
            </w:tcBorders>
            <w:shd w:val="clear" w:color="auto" w:fill="auto"/>
            <w:vAlign w:val="center"/>
          </w:tcPr>
          <w:p w:rsidR="00583DA6" w:rsidRDefault="006A45D9">
            <w:pPr>
              <w:widowControl w:val="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0,90</w:t>
            </w:r>
          </w:p>
        </w:tc>
      </w:tr>
      <w:tr w:rsidR="00583DA6">
        <w:trPr>
          <w:trHeight w:val="345"/>
        </w:trPr>
        <w:tc>
          <w:tcPr>
            <w:tcW w:w="4647" w:type="dxa"/>
            <w:tcBorders>
              <w:top w:val="single" w:sz="4" w:space="0" w:color="000000"/>
              <w:left w:val="single" w:sz="4" w:space="0" w:color="000000"/>
              <w:bottom w:val="single" w:sz="4" w:space="0" w:color="000000"/>
              <w:right w:val="dashed" w:sz="4" w:space="0" w:color="000000"/>
            </w:tcBorders>
            <w:shd w:val="clear" w:color="auto" w:fill="auto"/>
          </w:tcPr>
          <w:p w:rsidR="00583DA6" w:rsidRDefault="006A45D9">
            <w:pPr>
              <w:widowContro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доступным и комфортным жильем жителей Камчатского края"</w:t>
            </w:r>
          </w:p>
        </w:tc>
        <w:tc>
          <w:tcPr>
            <w:tcW w:w="1089"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0,80</w:t>
            </w:r>
          </w:p>
        </w:tc>
        <w:tc>
          <w:tcPr>
            <w:tcW w:w="814"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0,80</w:t>
            </w:r>
          </w:p>
        </w:tc>
        <w:tc>
          <w:tcPr>
            <w:tcW w:w="1703"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0,93</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0,93</w:t>
            </w:r>
          </w:p>
        </w:tc>
        <w:tc>
          <w:tcPr>
            <w:tcW w:w="142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0,94</w:t>
            </w:r>
          </w:p>
        </w:tc>
        <w:tc>
          <w:tcPr>
            <w:tcW w:w="708"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0,94</w:t>
            </w:r>
          </w:p>
        </w:tc>
        <w:tc>
          <w:tcPr>
            <w:tcW w:w="1992" w:type="dxa"/>
            <w:tcBorders>
              <w:top w:val="single" w:sz="4" w:space="0" w:color="000000"/>
              <w:left w:val="dashed" w:sz="4" w:space="0" w:color="000000"/>
              <w:bottom w:val="single" w:sz="4" w:space="0" w:color="000000"/>
              <w:right w:val="dashed" w:sz="4" w:space="0" w:color="000000"/>
            </w:tcBorders>
            <w:shd w:val="clear" w:color="auto" w:fill="auto"/>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0,90</w:t>
            </w:r>
          </w:p>
        </w:tc>
        <w:tc>
          <w:tcPr>
            <w:tcW w:w="1485" w:type="dxa"/>
            <w:tcBorders>
              <w:top w:val="single" w:sz="4" w:space="0" w:color="000000"/>
              <w:left w:val="dashed" w:sz="4" w:space="0" w:color="000000"/>
              <w:bottom w:val="single" w:sz="4" w:space="0" w:color="000000"/>
              <w:right w:val="single" w:sz="4" w:space="0" w:color="000000"/>
            </w:tcBorders>
            <w:shd w:val="clear" w:color="auto" w:fill="FFD966" w:themeFill="accent4" w:themeFillTint="99"/>
            <w:vAlign w:val="center"/>
          </w:tcPr>
          <w:p w:rsidR="00583DA6" w:rsidRDefault="006A45D9">
            <w:pPr>
              <w:widowControl w:val="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0,89</w:t>
            </w:r>
          </w:p>
        </w:tc>
      </w:tr>
      <w:tr w:rsidR="00583DA6">
        <w:trPr>
          <w:trHeight w:val="345"/>
        </w:trPr>
        <w:tc>
          <w:tcPr>
            <w:tcW w:w="4647"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Значение </w:t>
            </w:r>
            <w:r>
              <w:rPr>
                <w:rFonts w:ascii="Times New Roman" w:eastAsia="Times New Roman" w:hAnsi="Times New Roman"/>
                <w:b/>
                <w:bCs/>
                <w:sz w:val="24"/>
                <w:szCs w:val="24"/>
                <w:lang w:eastAsia="ru-RU"/>
              </w:rPr>
              <w:t>увеличено</w:t>
            </w:r>
            <w:r>
              <w:rPr>
                <w:rFonts w:ascii="Times New Roman" w:eastAsia="Times New Roman" w:hAnsi="Times New Roman"/>
                <w:sz w:val="24"/>
                <w:szCs w:val="24"/>
                <w:lang w:eastAsia="ru-RU"/>
              </w:rPr>
              <w:t xml:space="preserve"> в сравнении с расчетом ответственного исполнителя</w:t>
            </w:r>
          </w:p>
        </w:tc>
        <w:tc>
          <w:tcPr>
            <w:tcW w:w="1089" w:type="dxa"/>
            <w:tcBorders>
              <w:top w:val="single" w:sz="4" w:space="0" w:color="000000"/>
              <w:left w:val="single" w:sz="4" w:space="0" w:color="000000"/>
            </w:tcBorders>
            <w:shd w:val="clear" w:color="auto" w:fill="auto"/>
            <w:vAlign w:val="center"/>
          </w:tcPr>
          <w:p w:rsidR="00583DA6" w:rsidRDefault="00583DA6">
            <w:pPr>
              <w:widowControl w:val="0"/>
              <w:jc w:val="center"/>
              <w:rPr>
                <w:rFonts w:ascii="Times New Roman" w:eastAsia="Times New Roman" w:hAnsi="Times New Roman"/>
                <w:sz w:val="24"/>
                <w:szCs w:val="24"/>
                <w:lang w:eastAsia="ru-RU"/>
              </w:rPr>
            </w:pPr>
          </w:p>
        </w:tc>
        <w:tc>
          <w:tcPr>
            <w:tcW w:w="814" w:type="dxa"/>
            <w:tcBorders>
              <w:top w:val="single" w:sz="4" w:space="0" w:color="000000"/>
            </w:tcBorders>
            <w:shd w:val="clear" w:color="auto" w:fill="auto"/>
            <w:vAlign w:val="center"/>
          </w:tcPr>
          <w:p w:rsidR="00583DA6" w:rsidRDefault="00583DA6">
            <w:pPr>
              <w:widowControl w:val="0"/>
              <w:jc w:val="center"/>
              <w:rPr>
                <w:rFonts w:ascii="Times New Roman" w:eastAsia="Times New Roman" w:hAnsi="Times New Roman"/>
                <w:sz w:val="24"/>
                <w:szCs w:val="24"/>
                <w:lang w:eastAsia="ru-RU"/>
              </w:rPr>
            </w:pPr>
          </w:p>
        </w:tc>
        <w:tc>
          <w:tcPr>
            <w:tcW w:w="1703" w:type="dxa"/>
            <w:tcBorders>
              <w:top w:val="single" w:sz="4" w:space="0" w:color="000000"/>
            </w:tcBorders>
            <w:shd w:val="clear" w:color="auto" w:fill="auto"/>
            <w:vAlign w:val="center"/>
          </w:tcPr>
          <w:p w:rsidR="00583DA6" w:rsidRDefault="00583DA6">
            <w:pPr>
              <w:widowControl w:val="0"/>
              <w:jc w:val="center"/>
              <w:rPr>
                <w:rFonts w:ascii="Times New Roman" w:eastAsia="Times New Roman" w:hAnsi="Times New Roman"/>
                <w:sz w:val="24"/>
                <w:szCs w:val="24"/>
                <w:lang w:eastAsia="ru-RU"/>
              </w:rPr>
            </w:pPr>
          </w:p>
        </w:tc>
        <w:tc>
          <w:tcPr>
            <w:tcW w:w="708" w:type="dxa"/>
            <w:tcBorders>
              <w:top w:val="single" w:sz="4" w:space="0" w:color="000000"/>
            </w:tcBorders>
            <w:shd w:val="clear" w:color="auto" w:fill="auto"/>
            <w:vAlign w:val="center"/>
          </w:tcPr>
          <w:p w:rsidR="00583DA6" w:rsidRDefault="00583DA6">
            <w:pPr>
              <w:widowControl w:val="0"/>
              <w:jc w:val="center"/>
              <w:rPr>
                <w:rFonts w:ascii="Times New Roman" w:eastAsia="Times New Roman" w:hAnsi="Times New Roman"/>
                <w:sz w:val="24"/>
                <w:szCs w:val="24"/>
                <w:lang w:eastAsia="ru-RU"/>
              </w:rPr>
            </w:pPr>
          </w:p>
        </w:tc>
        <w:tc>
          <w:tcPr>
            <w:tcW w:w="1422" w:type="dxa"/>
            <w:tcBorders>
              <w:top w:val="single" w:sz="4" w:space="0" w:color="000000"/>
            </w:tcBorders>
            <w:shd w:val="clear" w:color="auto" w:fill="auto"/>
            <w:vAlign w:val="center"/>
          </w:tcPr>
          <w:p w:rsidR="00583DA6" w:rsidRDefault="00583DA6">
            <w:pPr>
              <w:widowControl w:val="0"/>
              <w:jc w:val="center"/>
              <w:rPr>
                <w:rFonts w:ascii="Times New Roman" w:eastAsia="Times New Roman" w:hAnsi="Times New Roman"/>
                <w:sz w:val="24"/>
                <w:szCs w:val="24"/>
                <w:lang w:eastAsia="ru-RU"/>
              </w:rPr>
            </w:pPr>
          </w:p>
        </w:tc>
        <w:tc>
          <w:tcPr>
            <w:tcW w:w="708" w:type="dxa"/>
            <w:tcBorders>
              <w:top w:val="single" w:sz="4" w:space="0" w:color="000000"/>
            </w:tcBorders>
            <w:shd w:val="clear" w:color="auto" w:fill="auto"/>
            <w:vAlign w:val="center"/>
          </w:tcPr>
          <w:p w:rsidR="00583DA6" w:rsidRDefault="00583DA6">
            <w:pPr>
              <w:widowControl w:val="0"/>
              <w:jc w:val="center"/>
              <w:rPr>
                <w:rFonts w:ascii="Times New Roman" w:eastAsia="Times New Roman" w:hAnsi="Times New Roman"/>
                <w:sz w:val="24"/>
                <w:szCs w:val="24"/>
                <w:lang w:eastAsia="ru-RU"/>
              </w:rPr>
            </w:pPr>
          </w:p>
        </w:tc>
        <w:tc>
          <w:tcPr>
            <w:tcW w:w="1992" w:type="dxa"/>
            <w:tcBorders>
              <w:top w:val="single" w:sz="4" w:space="0" w:color="000000"/>
            </w:tcBorders>
            <w:shd w:val="clear" w:color="auto" w:fill="auto"/>
            <w:vAlign w:val="center"/>
          </w:tcPr>
          <w:p w:rsidR="00583DA6" w:rsidRDefault="00583DA6">
            <w:pPr>
              <w:widowControl w:val="0"/>
              <w:jc w:val="center"/>
              <w:rPr>
                <w:rFonts w:ascii="Times New Roman" w:eastAsia="Times New Roman" w:hAnsi="Times New Roman"/>
                <w:sz w:val="24"/>
                <w:szCs w:val="24"/>
                <w:lang w:eastAsia="ru-RU"/>
              </w:rPr>
            </w:pPr>
          </w:p>
        </w:tc>
        <w:tc>
          <w:tcPr>
            <w:tcW w:w="1485" w:type="dxa"/>
            <w:tcBorders>
              <w:top w:val="single" w:sz="4" w:space="0" w:color="000000"/>
            </w:tcBorders>
            <w:shd w:val="clear" w:color="auto" w:fill="auto"/>
            <w:vAlign w:val="center"/>
          </w:tcPr>
          <w:p w:rsidR="00583DA6" w:rsidRDefault="00583DA6">
            <w:pPr>
              <w:widowControl w:val="0"/>
              <w:jc w:val="center"/>
              <w:rPr>
                <w:rFonts w:ascii="Times New Roman" w:eastAsia="Times New Roman" w:hAnsi="Times New Roman"/>
                <w:b/>
                <w:bCs/>
                <w:sz w:val="24"/>
                <w:szCs w:val="24"/>
                <w:lang w:eastAsia="ru-RU"/>
              </w:rPr>
            </w:pPr>
          </w:p>
        </w:tc>
      </w:tr>
      <w:tr w:rsidR="00583DA6">
        <w:trPr>
          <w:trHeight w:val="345"/>
        </w:trPr>
        <w:tc>
          <w:tcPr>
            <w:tcW w:w="4647" w:type="dxa"/>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rsidR="00583DA6" w:rsidRDefault="006A45D9">
            <w:pPr>
              <w:widowControl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Значение </w:t>
            </w:r>
            <w:r>
              <w:rPr>
                <w:rFonts w:ascii="Times New Roman" w:eastAsia="Times New Roman" w:hAnsi="Times New Roman"/>
                <w:b/>
                <w:bCs/>
                <w:sz w:val="24"/>
                <w:szCs w:val="24"/>
                <w:lang w:eastAsia="ru-RU"/>
              </w:rPr>
              <w:t>уменьшено</w:t>
            </w:r>
            <w:r>
              <w:rPr>
                <w:rFonts w:ascii="Times New Roman" w:eastAsia="Times New Roman" w:hAnsi="Times New Roman"/>
                <w:sz w:val="24"/>
                <w:szCs w:val="24"/>
                <w:lang w:eastAsia="ru-RU"/>
              </w:rPr>
              <w:t xml:space="preserve"> в сравнении с расчетом ответственного исполнителя</w:t>
            </w:r>
          </w:p>
        </w:tc>
        <w:tc>
          <w:tcPr>
            <w:tcW w:w="1089" w:type="dxa"/>
            <w:tcBorders>
              <w:left w:val="single" w:sz="4" w:space="0" w:color="000000"/>
            </w:tcBorders>
            <w:shd w:val="clear" w:color="auto" w:fill="auto"/>
            <w:vAlign w:val="center"/>
          </w:tcPr>
          <w:p w:rsidR="00583DA6" w:rsidRDefault="00583DA6">
            <w:pPr>
              <w:widowControl w:val="0"/>
              <w:jc w:val="center"/>
              <w:rPr>
                <w:rFonts w:ascii="Times New Roman" w:eastAsia="Times New Roman" w:hAnsi="Times New Roman"/>
                <w:sz w:val="24"/>
                <w:szCs w:val="24"/>
                <w:lang w:eastAsia="ru-RU"/>
              </w:rPr>
            </w:pPr>
          </w:p>
        </w:tc>
        <w:tc>
          <w:tcPr>
            <w:tcW w:w="814" w:type="dxa"/>
            <w:shd w:val="clear" w:color="auto" w:fill="auto"/>
            <w:vAlign w:val="center"/>
          </w:tcPr>
          <w:p w:rsidR="00583DA6" w:rsidRDefault="00583DA6">
            <w:pPr>
              <w:widowControl w:val="0"/>
              <w:jc w:val="center"/>
              <w:rPr>
                <w:rFonts w:ascii="Times New Roman" w:eastAsia="Times New Roman" w:hAnsi="Times New Roman"/>
                <w:sz w:val="24"/>
                <w:szCs w:val="24"/>
                <w:lang w:eastAsia="ru-RU"/>
              </w:rPr>
            </w:pPr>
          </w:p>
        </w:tc>
        <w:tc>
          <w:tcPr>
            <w:tcW w:w="1703" w:type="dxa"/>
            <w:shd w:val="clear" w:color="auto" w:fill="auto"/>
            <w:vAlign w:val="center"/>
          </w:tcPr>
          <w:p w:rsidR="00583DA6" w:rsidRDefault="00583DA6">
            <w:pPr>
              <w:widowControl w:val="0"/>
              <w:jc w:val="center"/>
              <w:rPr>
                <w:rFonts w:ascii="Times New Roman" w:eastAsia="Times New Roman" w:hAnsi="Times New Roman"/>
                <w:sz w:val="24"/>
                <w:szCs w:val="24"/>
                <w:lang w:eastAsia="ru-RU"/>
              </w:rPr>
            </w:pPr>
          </w:p>
        </w:tc>
        <w:tc>
          <w:tcPr>
            <w:tcW w:w="708" w:type="dxa"/>
            <w:shd w:val="clear" w:color="auto" w:fill="auto"/>
            <w:vAlign w:val="center"/>
          </w:tcPr>
          <w:p w:rsidR="00583DA6" w:rsidRDefault="00583DA6">
            <w:pPr>
              <w:widowControl w:val="0"/>
              <w:jc w:val="center"/>
              <w:rPr>
                <w:rFonts w:ascii="Times New Roman" w:eastAsia="Times New Roman" w:hAnsi="Times New Roman"/>
                <w:sz w:val="24"/>
                <w:szCs w:val="24"/>
                <w:lang w:eastAsia="ru-RU"/>
              </w:rPr>
            </w:pPr>
          </w:p>
        </w:tc>
        <w:tc>
          <w:tcPr>
            <w:tcW w:w="1422" w:type="dxa"/>
            <w:shd w:val="clear" w:color="auto" w:fill="auto"/>
            <w:vAlign w:val="center"/>
          </w:tcPr>
          <w:p w:rsidR="00583DA6" w:rsidRDefault="00583DA6">
            <w:pPr>
              <w:widowControl w:val="0"/>
              <w:jc w:val="center"/>
              <w:rPr>
                <w:rFonts w:ascii="Times New Roman" w:eastAsia="Times New Roman" w:hAnsi="Times New Roman"/>
                <w:sz w:val="24"/>
                <w:szCs w:val="24"/>
                <w:lang w:eastAsia="ru-RU"/>
              </w:rPr>
            </w:pPr>
          </w:p>
        </w:tc>
        <w:tc>
          <w:tcPr>
            <w:tcW w:w="708" w:type="dxa"/>
            <w:shd w:val="clear" w:color="auto" w:fill="auto"/>
            <w:vAlign w:val="center"/>
          </w:tcPr>
          <w:p w:rsidR="00583DA6" w:rsidRDefault="00583DA6">
            <w:pPr>
              <w:widowControl w:val="0"/>
              <w:jc w:val="center"/>
              <w:rPr>
                <w:rFonts w:ascii="Times New Roman" w:eastAsia="Times New Roman" w:hAnsi="Times New Roman"/>
                <w:sz w:val="24"/>
                <w:szCs w:val="24"/>
                <w:lang w:eastAsia="ru-RU"/>
              </w:rPr>
            </w:pPr>
          </w:p>
        </w:tc>
        <w:tc>
          <w:tcPr>
            <w:tcW w:w="1992" w:type="dxa"/>
            <w:shd w:val="clear" w:color="auto" w:fill="auto"/>
            <w:vAlign w:val="center"/>
          </w:tcPr>
          <w:p w:rsidR="00583DA6" w:rsidRDefault="00583DA6">
            <w:pPr>
              <w:widowControl w:val="0"/>
              <w:jc w:val="center"/>
              <w:rPr>
                <w:rFonts w:ascii="Times New Roman" w:eastAsia="Times New Roman" w:hAnsi="Times New Roman"/>
                <w:sz w:val="24"/>
                <w:szCs w:val="24"/>
                <w:lang w:eastAsia="ru-RU"/>
              </w:rPr>
            </w:pPr>
          </w:p>
        </w:tc>
        <w:tc>
          <w:tcPr>
            <w:tcW w:w="1485" w:type="dxa"/>
            <w:shd w:val="clear" w:color="auto" w:fill="auto"/>
            <w:vAlign w:val="center"/>
          </w:tcPr>
          <w:p w:rsidR="00583DA6" w:rsidRDefault="00583DA6">
            <w:pPr>
              <w:widowControl w:val="0"/>
              <w:jc w:val="center"/>
              <w:rPr>
                <w:rFonts w:ascii="Times New Roman" w:eastAsia="Times New Roman" w:hAnsi="Times New Roman"/>
                <w:b/>
                <w:bCs/>
                <w:sz w:val="24"/>
                <w:szCs w:val="24"/>
                <w:lang w:eastAsia="ru-RU"/>
              </w:rPr>
            </w:pPr>
          </w:p>
        </w:tc>
      </w:tr>
    </w:tbl>
    <w:p w:rsidR="00583DA6" w:rsidRDefault="00583DA6">
      <w:pPr>
        <w:ind w:firstLine="709"/>
        <w:jc w:val="both"/>
        <w:rPr>
          <w:rFonts w:ascii="Times New Roman" w:hAnsi="Times New Roman"/>
          <w:sz w:val="28"/>
          <w:szCs w:val="28"/>
        </w:rPr>
      </w:pPr>
    </w:p>
    <w:sectPr w:rsidR="00583DA6">
      <w:headerReference w:type="default" r:id="rId16"/>
      <w:footerReference w:type="default" r:id="rId17"/>
      <w:headerReference w:type="first" r:id="rId18"/>
      <w:pgSz w:w="16838" w:h="11906" w:orient="landscape"/>
      <w:pgMar w:top="1701" w:right="1134" w:bottom="567" w:left="1134" w:header="0"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6A45D9">
      <w:r>
        <w:separator/>
      </w:r>
    </w:p>
  </w:endnote>
  <w:endnote w:type="continuationSeparator" w:id="0">
    <w:p w:rsidR="00000000" w:rsidRDefault="006A4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01"/>
    <w:family w:val="roman"/>
    <w:pitch w:val="variable"/>
  </w:font>
  <w:font w:name="Arial">
    <w:panose1 w:val="020B0604020202020204"/>
    <w:charset w:val="CC"/>
    <w:family w:val="swiss"/>
    <w:pitch w:val="variable"/>
    <w:sig w:usb0="E0002EFF" w:usb1="C000785B" w:usb2="00000009" w:usb3="00000000" w:csb0="000001FF" w:csb1="00000000"/>
  </w:font>
  <w:font w:name="Tahoma">
    <w:panose1 w:val="020B0604030504040204"/>
    <w:charset w:val="01"/>
    <w:family w:val="roman"/>
    <w:pitch w:val="variable"/>
  </w:font>
  <w:font w:name="Open Sans">
    <w:charset w:val="01"/>
    <w:family w:val="roman"/>
    <w:pitch w:val="variable"/>
  </w:font>
  <w:font w:name="Lohit Devanagari">
    <w:panose1 w:val="00000000000000000000"/>
    <w:charset w:val="00"/>
    <w:family w:val="roman"/>
    <w:notTrueType/>
    <w:pitch w:val="default"/>
  </w:font>
  <w:font w:name="PMingLiU">
    <w:altName w:val="新細明體"/>
    <w:panose1 w:val="02010601000101010101"/>
    <w:charset w:val="88"/>
    <w:family w:val="auto"/>
    <w:pitch w:val="variable"/>
    <w:sig w:usb0="00000001" w:usb1="08080000" w:usb2="00000010" w:usb3="00000000" w:csb0="00100000"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 w:name="Bahnschrift SemiLight SemiConde">
    <w:panose1 w:val="020B0502040204020203"/>
    <w:charset w:val="CC"/>
    <w:family w:val="swiss"/>
    <w:pitch w:val="variable"/>
    <w:sig w:usb0="A00002C7" w:usb1="00000002" w:usb2="00000000" w:usb3="00000000" w:csb0="0000019F" w:csb1="00000000"/>
  </w:font>
  <w:font w:name="Bahnschrift Light Condensed">
    <w:panose1 w:val="020B0502040204020203"/>
    <w:charset w:val="CC"/>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DA6" w:rsidRDefault="006A45D9">
    <w:pPr>
      <w:pStyle w:val="af3"/>
      <w:jc w:val="center"/>
      <w:rPr>
        <w:shd w:val="clear" w:color="auto" w:fill="FFFF00"/>
      </w:rPr>
    </w:pPr>
    <w:r>
      <w:fldChar w:fldCharType="begin"/>
    </w:r>
    <w:r>
      <w:instrText xml:space="preserve"> PAGE </w:instrText>
    </w:r>
    <w:r>
      <w:fldChar w:fldCharType="separate"/>
    </w:r>
    <w:r>
      <w:rPr>
        <w:noProof/>
      </w:rPr>
      <w:t>2</w:t>
    </w:r>
    <w:r>
      <w:fldChar w:fldCharType="end"/>
    </w:r>
  </w:p>
  <w:p w:rsidR="00583DA6" w:rsidRDefault="00583DA6">
    <w:pPr>
      <w:pStyle w:val="af3"/>
      <w:rPr>
        <w:rFonts w:ascii="Bahnschrift SemiLight SemiConde" w:hAnsi="Bahnschrift SemiLight SemiConde"/>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DA6" w:rsidRDefault="006A45D9">
    <w:pPr>
      <w:pStyle w:val="af3"/>
      <w:jc w:val="center"/>
      <w:rPr>
        <w:rFonts w:ascii="Times New Roman" w:hAnsi="Times New Roman"/>
        <w:sz w:val="24"/>
        <w:szCs w:val="24"/>
      </w:rPr>
    </w:pPr>
    <w:r>
      <w:fldChar w:fldCharType="begin"/>
    </w:r>
    <w:r>
      <w:instrText xml:space="preserve"> PAGE </w:instrText>
    </w:r>
    <w:r>
      <w:fldChar w:fldCharType="separate"/>
    </w:r>
    <w:r>
      <w:rPr>
        <w:noProof/>
      </w:rPr>
      <w:t>58</w:t>
    </w:r>
    <w:r>
      <w:fldChar w:fldCharType="end"/>
    </w:r>
  </w:p>
  <w:p w:rsidR="00583DA6" w:rsidRDefault="00583DA6">
    <w:pPr>
      <w:pStyle w:val="af3"/>
      <w:rPr>
        <w:rFonts w:ascii="Bahnschrift SemiLight SemiConde" w:hAnsi="Bahnschrift SemiLight SemiConde"/>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6A45D9">
      <w:r>
        <w:separator/>
      </w:r>
    </w:p>
  </w:footnote>
  <w:footnote w:type="continuationSeparator" w:id="0">
    <w:p w:rsidR="00000000" w:rsidRDefault="006A4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DA6" w:rsidRDefault="006A45D9">
    <w:pPr>
      <w:pStyle w:val="afb"/>
    </w:pPr>
    <w:r>
      <w:rPr>
        <w:noProof/>
        <w:lang w:eastAsia="ru-RU"/>
      </w:rPr>
      <mc:AlternateContent>
        <mc:Choice Requires="wps">
          <w:drawing>
            <wp:anchor distT="0" distB="0" distL="0" distR="0" simplePos="0" relativeHeight="2" behindDoc="0" locked="0" layoutInCell="0" allowOverlap="1">
              <wp:simplePos x="0" y="0"/>
              <wp:positionH relativeFrom="margin">
                <wp:align>center</wp:align>
              </wp:positionH>
              <wp:positionV relativeFrom="paragraph">
                <wp:posOffset>635</wp:posOffset>
              </wp:positionV>
              <wp:extent cx="14605" cy="14605"/>
              <wp:effectExtent l="0" t="0" r="0" b="0"/>
              <wp:wrapSquare wrapText="bothSides"/>
              <wp:docPr id="5" name="Врезка1"/>
              <wp:cNvGraphicFramePr/>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scrgbClr r="0" g="0" b="0"/>
                      </a:lnRef>
                      <a:fillRef idx="0">
                        <a:scrgbClr r="0" g="0" b="0"/>
                      </a:fillRef>
                      <a:effectRef idx="0">
                        <a:scrgbClr r="0" g="0" b="0"/>
                      </a:effectRef>
                      <a:fontRef idx="minor"/>
                    </wps:style>
                    <wps:txbx>
                      <w:txbxContent>
                        <w:p w:rsidR="00583DA6" w:rsidRDefault="006A45D9">
                          <w:pPr>
                            <w:pStyle w:val="afb"/>
                            <w:rPr>
                              <w:rStyle w:val="af9"/>
                            </w:rPr>
                          </w:pPr>
                          <w:r>
                            <w:rPr>
                              <w:rStyle w:val="af9"/>
                              <w:color w:val="000000"/>
                            </w:rPr>
                            <w:fldChar w:fldCharType="begin"/>
                          </w:r>
                          <w:r>
                            <w:rPr>
                              <w:rStyle w:val="af9"/>
                              <w:color w:val="000000"/>
                            </w:rPr>
                            <w:instrText xml:space="preserve"> PAGE </w:instrText>
                          </w:r>
                          <w:r>
                            <w:rPr>
                              <w:rStyle w:val="af9"/>
                              <w:color w:val="000000"/>
                            </w:rPr>
                            <w:fldChar w:fldCharType="separate"/>
                          </w:r>
                          <w:r>
                            <w:rPr>
                              <w:rStyle w:val="af9"/>
                              <w:color w:val="000000"/>
                            </w:rPr>
                            <w:t>0</w:t>
                          </w:r>
                          <w:r>
                            <w:rPr>
                              <w:rStyle w:val="af9"/>
                              <w:color w:val="000000"/>
                            </w:rPr>
                            <w:fldChar w:fldCharType="end"/>
                          </w:r>
                        </w:p>
                      </w:txbxContent>
                    </wps:txbx>
                    <wps:bodyPr lIns="0" tIns="0" rIns="0" bIns="0" anchor="t">
                      <a:spAutoFit/>
                    </wps:bodyPr>
                  </wps:wsp>
                </a:graphicData>
              </a:graphic>
            </wp:anchor>
          </w:drawing>
        </mc:Choice>
        <mc:Fallback>
          <w:pict>
            <v:rect id="shape_0" ID="Врезка1" path="m0,0l-2147483645,0l-2147483645,-2147483646l0,-2147483646xe" stroked="f" o:allowincell="f" style="position:absolute;margin-left:0pt;margin-top:0.05pt;width:1.1pt;height:1.1pt;mso-wrap-style:square;v-text-anchor:top;mso-position-horizontal:center;mso-position-horizontal-relative:margin">
              <v:fill o:detectmouseclick="t" on="false"/>
              <v:stroke color="#3465a4" joinstyle="round" endcap="flat"/>
              <v:textbox>
                <w:txbxContent>
                  <w:p>
                    <w:pPr>
                      <w:pStyle w:val="Style41"/>
                      <w:rPr>
                        <w:rStyle w:val="Pagenumb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color w:val="000000"/>
                      </w:rPr>
                      <w:t>0</w:t>
                    </w:r>
                    <w:r>
                      <w:rPr>
                        <w:rStyle w:val="Pagenumber"/>
                        <w:color w:val="000000"/>
                      </w:rPr>
                      <w:fldChar w:fldCharType="end"/>
                    </w:r>
                  </w:p>
                </w:txbxContent>
              </v:textbox>
              <w10:wrap type="squar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DA6" w:rsidRDefault="00583DA6">
    <w:pPr>
      <w:jc w:val="center"/>
      <w:rPr>
        <w:rFonts w:ascii="Times New Roman" w:hAnsi="Times New Roman"/>
        <w:b/>
        <w:sz w:val="28"/>
        <w:szCs w:val="28"/>
      </w:rPr>
    </w:pPr>
  </w:p>
  <w:p w:rsidR="00583DA6" w:rsidRDefault="006A45D9">
    <w:pPr>
      <w:jc w:val="center"/>
      <w:rPr>
        <w:rFonts w:ascii="Times New Roman" w:hAnsi="Times New Roman"/>
        <w:sz w:val="24"/>
        <w:szCs w:val="24"/>
      </w:rPr>
    </w:pPr>
    <w:r>
      <w:rPr>
        <w:rFonts w:ascii="Times New Roman" w:hAnsi="Times New Roman"/>
        <w:sz w:val="24"/>
        <w:szCs w:val="24"/>
      </w:rPr>
      <w:t>Сводный годовой доклад о ходе реализации и оценке эффективности государственных программ Камчатского края по итогам 2022 года</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DA6" w:rsidRDefault="00583DA6">
    <w:pPr>
      <w:jc w:val="center"/>
      <w:rPr>
        <w:rFonts w:ascii="Bahnschrift Light Condensed" w:hAnsi="Bahnschrift Light Condensed"/>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DA6" w:rsidRDefault="00583DA6">
    <w:pPr>
      <w:jc w:val="center"/>
      <w:rPr>
        <w:rFonts w:ascii="Times New Roman" w:hAnsi="Times New Roman"/>
        <w:b/>
        <w:sz w:val="28"/>
        <w:szCs w:val="28"/>
      </w:rPr>
    </w:pPr>
  </w:p>
  <w:p w:rsidR="00583DA6" w:rsidRDefault="006A45D9">
    <w:pPr>
      <w:jc w:val="center"/>
      <w:rPr>
        <w:rFonts w:ascii="Times New Roman" w:hAnsi="Times New Roman"/>
        <w:sz w:val="24"/>
        <w:szCs w:val="24"/>
      </w:rPr>
    </w:pPr>
    <w:r>
      <w:rPr>
        <w:rFonts w:ascii="Times New Roman" w:hAnsi="Times New Roman"/>
        <w:sz w:val="24"/>
        <w:szCs w:val="24"/>
      </w:rPr>
      <w:t xml:space="preserve">Сводный годовой доклад о ходе реализации и оценке эффективности государственных программ Камчатского края по итогам </w:t>
    </w:r>
    <w:r>
      <w:rPr>
        <w:rFonts w:ascii="Times New Roman" w:hAnsi="Times New Roman"/>
        <w:sz w:val="24"/>
        <w:szCs w:val="24"/>
      </w:rPr>
      <w:t>2022 года</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DA6" w:rsidRDefault="00583DA6">
    <w:pPr>
      <w:jc w:val="center"/>
      <w:rPr>
        <w:rFonts w:ascii="Bahnschrift Light Condensed" w:hAnsi="Bahnschrift Light Condensed"/>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9625AA"/>
    <w:multiLevelType w:val="multilevel"/>
    <w:tmpl w:val="25CC6C2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 w15:restartNumberingAfterBreak="0">
    <w:nsid w:val="495C1480"/>
    <w:multiLevelType w:val="multilevel"/>
    <w:tmpl w:val="4AA87B3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499E7DA6"/>
    <w:multiLevelType w:val="multilevel"/>
    <w:tmpl w:val="4F04E528"/>
    <w:lvl w:ilvl="0">
      <w:start w:val="1"/>
      <w:numFmt w:val="decimal"/>
      <w:lvlText w:val="%1."/>
      <w:lvlJc w:val="left"/>
      <w:pPr>
        <w:tabs>
          <w:tab w:val="num" w:pos="0"/>
        </w:tabs>
        <w:ind w:left="360" w:hanging="360"/>
      </w:pPr>
    </w:lvl>
    <w:lvl w:ilvl="1">
      <w:start w:val="1"/>
      <w:numFmt w:val="decimal"/>
      <w:lvlText w:val="%1.%2."/>
      <w:lvlJc w:val="left"/>
      <w:pPr>
        <w:tabs>
          <w:tab w:val="num" w:pos="0"/>
        </w:tabs>
        <w:ind w:left="862"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3" w15:restartNumberingAfterBreak="0">
    <w:nsid w:val="603D5066"/>
    <w:multiLevelType w:val="multilevel"/>
    <w:tmpl w:val="1A38465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DA6"/>
    <w:rsid w:val="00583DA6"/>
    <w:rsid w:val="006A45D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3FED2A-5D4E-41AB-AE2A-D1C012D55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232E"/>
    <w:rPr>
      <w:sz w:val="22"/>
      <w:szCs w:val="22"/>
      <w:lang w:eastAsia="en-US"/>
    </w:rPr>
  </w:style>
  <w:style w:type="paragraph" w:styleId="1">
    <w:name w:val="heading 1"/>
    <w:basedOn w:val="a"/>
    <w:next w:val="a"/>
    <w:link w:val="10"/>
    <w:uiPriority w:val="99"/>
    <w:qFormat/>
    <w:rsid w:val="00263428"/>
    <w:pPr>
      <w:keepNext/>
      <w:keepLines/>
      <w:spacing w:before="480"/>
      <w:outlineLvl w:val="0"/>
    </w:pPr>
    <w:rPr>
      <w:rFonts w:ascii="Cambria" w:eastAsia="Times New Roman" w:hAnsi="Cambria"/>
      <w:b/>
      <w:bCs/>
      <w:color w:val="365F91"/>
      <w:sz w:val="28"/>
      <w:szCs w:val="28"/>
    </w:rPr>
  </w:style>
  <w:style w:type="paragraph" w:styleId="2">
    <w:name w:val="heading 2"/>
    <w:basedOn w:val="a"/>
    <w:next w:val="a"/>
    <w:link w:val="20"/>
    <w:uiPriority w:val="9"/>
    <w:qFormat/>
    <w:rsid w:val="00263428"/>
    <w:pPr>
      <w:keepNext/>
      <w:keepLines/>
      <w:spacing w:before="200"/>
      <w:outlineLvl w:val="1"/>
    </w:pPr>
    <w:rPr>
      <w:rFonts w:ascii="Cambria" w:eastAsia="Times New Roman" w:hAnsi="Cambria"/>
      <w:b/>
      <w:bCs/>
      <w:color w:val="4F81BD"/>
      <w:sz w:val="26"/>
      <w:szCs w:val="26"/>
    </w:rPr>
  </w:style>
  <w:style w:type="paragraph" w:styleId="3">
    <w:name w:val="heading 3"/>
    <w:basedOn w:val="a"/>
    <w:next w:val="a"/>
    <w:link w:val="30"/>
    <w:uiPriority w:val="9"/>
    <w:qFormat/>
    <w:rsid w:val="00263428"/>
    <w:pPr>
      <w:keepNext/>
      <w:keepLines/>
      <w:spacing w:before="200"/>
      <w:outlineLvl w:val="2"/>
    </w:pPr>
    <w:rPr>
      <w:rFonts w:ascii="Cambria" w:eastAsia="Times New Roman" w:hAnsi="Cambria"/>
      <w:b/>
      <w:bCs/>
      <w:color w:val="4F81BD"/>
    </w:rPr>
  </w:style>
  <w:style w:type="paragraph" w:styleId="4">
    <w:name w:val="heading 4"/>
    <w:basedOn w:val="a"/>
    <w:next w:val="a"/>
    <w:link w:val="40"/>
    <w:uiPriority w:val="9"/>
    <w:qFormat/>
    <w:rsid w:val="00263428"/>
    <w:pPr>
      <w:keepNext/>
      <w:keepLines/>
      <w:spacing w:before="200"/>
      <w:outlineLvl w:val="3"/>
    </w:pPr>
    <w:rPr>
      <w:rFonts w:ascii="Cambria" w:eastAsia="Times New Roman" w:hAnsi="Cambria"/>
      <w:b/>
      <w:bCs/>
      <w:i/>
      <w:iCs/>
      <w:color w:val="4F81BD"/>
    </w:rPr>
  </w:style>
  <w:style w:type="paragraph" w:styleId="5">
    <w:name w:val="heading 5"/>
    <w:basedOn w:val="a"/>
    <w:next w:val="a"/>
    <w:link w:val="50"/>
    <w:uiPriority w:val="9"/>
    <w:qFormat/>
    <w:rsid w:val="00263428"/>
    <w:pPr>
      <w:keepNext/>
      <w:keepLines/>
      <w:spacing w:before="200"/>
      <w:outlineLvl w:val="4"/>
    </w:pPr>
    <w:rPr>
      <w:rFonts w:ascii="Cambria" w:eastAsia="Times New Roman" w:hAnsi="Cambria"/>
      <w:color w:val="243F60"/>
    </w:rPr>
  </w:style>
  <w:style w:type="paragraph" w:styleId="6">
    <w:name w:val="heading 6"/>
    <w:basedOn w:val="a"/>
    <w:next w:val="a"/>
    <w:link w:val="60"/>
    <w:uiPriority w:val="9"/>
    <w:qFormat/>
    <w:rsid w:val="00263428"/>
    <w:pPr>
      <w:keepNext/>
      <w:keepLines/>
      <w:spacing w:before="200"/>
      <w:outlineLvl w:val="5"/>
    </w:pPr>
    <w:rPr>
      <w:rFonts w:ascii="Cambria" w:eastAsia="Times New Roman" w:hAnsi="Cambria"/>
      <w:i/>
      <w:iCs/>
      <w:color w:val="243F60"/>
    </w:rPr>
  </w:style>
  <w:style w:type="paragraph" w:styleId="7">
    <w:name w:val="heading 7"/>
    <w:basedOn w:val="a"/>
    <w:next w:val="a"/>
    <w:link w:val="70"/>
    <w:uiPriority w:val="9"/>
    <w:qFormat/>
    <w:rsid w:val="00263428"/>
    <w:pPr>
      <w:keepNext/>
      <w:keepLines/>
      <w:spacing w:before="200"/>
      <w:outlineLvl w:val="6"/>
    </w:pPr>
    <w:rPr>
      <w:rFonts w:ascii="Cambria" w:eastAsia="Times New Roman" w:hAnsi="Cambria"/>
      <w:i/>
      <w:iCs/>
      <w:color w:val="404040"/>
    </w:rPr>
  </w:style>
  <w:style w:type="paragraph" w:styleId="8">
    <w:name w:val="heading 8"/>
    <w:basedOn w:val="a"/>
    <w:next w:val="a"/>
    <w:link w:val="80"/>
    <w:uiPriority w:val="9"/>
    <w:qFormat/>
    <w:rsid w:val="00263428"/>
    <w:pPr>
      <w:keepNext/>
      <w:keepLines/>
      <w:spacing w:before="200"/>
      <w:outlineLvl w:val="7"/>
    </w:pPr>
    <w:rPr>
      <w:rFonts w:ascii="Cambria" w:eastAsia="Times New Roman" w:hAnsi="Cambria"/>
      <w:color w:val="404040"/>
      <w:sz w:val="20"/>
      <w:szCs w:val="20"/>
    </w:rPr>
  </w:style>
  <w:style w:type="paragraph" w:styleId="9">
    <w:name w:val="heading 9"/>
    <w:basedOn w:val="a"/>
    <w:next w:val="a"/>
    <w:link w:val="90"/>
    <w:uiPriority w:val="9"/>
    <w:qFormat/>
    <w:rsid w:val="00263428"/>
    <w:pPr>
      <w:keepNext/>
      <w:keepLines/>
      <w:spacing w:before="200"/>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
    <w:qFormat/>
    <w:rsid w:val="00263428"/>
    <w:rPr>
      <w:rFonts w:ascii="Cambria" w:eastAsia="Times New Roman" w:hAnsi="Cambria" w:cs="Times New Roman"/>
      <w:b/>
      <w:bCs/>
      <w:color w:val="4F81BD"/>
      <w:sz w:val="26"/>
      <w:szCs w:val="26"/>
    </w:rPr>
  </w:style>
  <w:style w:type="character" w:customStyle="1" w:styleId="30">
    <w:name w:val="Заголовок 3 Знак"/>
    <w:link w:val="3"/>
    <w:uiPriority w:val="9"/>
    <w:qFormat/>
    <w:rsid w:val="00263428"/>
    <w:rPr>
      <w:rFonts w:ascii="Cambria" w:eastAsia="Times New Roman" w:hAnsi="Cambria" w:cs="Times New Roman"/>
      <w:b/>
      <w:bCs/>
      <w:color w:val="4F81BD"/>
    </w:rPr>
  </w:style>
  <w:style w:type="character" w:customStyle="1" w:styleId="40">
    <w:name w:val="Заголовок 4 Знак"/>
    <w:link w:val="4"/>
    <w:uiPriority w:val="9"/>
    <w:qFormat/>
    <w:rsid w:val="00263428"/>
    <w:rPr>
      <w:rFonts w:ascii="Cambria" w:eastAsia="Times New Roman" w:hAnsi="Cambria" w:cs="Times New Roman"/>
      <w:b/>
      <w:bCs/>
      <w:i/>
      <w:iCs/>
      <w:color w:val="4F81BD"/>
    </w:rPr>
  </w:style>
  <w:style w:type="character" w:customStyle="1" w:styleId="50">
    <w:name w:val="Заголовок 5 Знак"/>
    <w:link w:val="5"/>
    <w:uiPriority w:val="9"/>
    <w:qFormat/>
    <w:rsid w:val="00263428"/>
    <w:rPr>
      <w:rFonts w:ascii="Cambria" w:eastAsia="Times New Roman" w:hAnsi="Cambria" w:cs="Times New Roman"/>
      <w:color w:val="243F60"/>
    </w:rPr>
  </w:style>
  <w:style w:type="character" w:customStyle="1" w:styleId="60">
    <w:name w:val="Заголовок 6 Знак"/>
    <w:link w:val="6"/>
    <w:uiPriority w:val="9"/>
    <w:qFormat/>
    <w:rsid w:val="00263428"/>
    <w:rPr>
      <w:rFonts w:ascii="Cambria" w:eastAsia="Times New Roman" w:hAnsi="Cambria" w:cs="Times New Roman"/>
      <w:i/>
      <w:iCs/>
      <w:color w:val="243F60"/>
    </w:rPr>
  </w:style>
  <w:style w:type="character" w:customStyle="1" w:styleId="70">
    <w:name w:val="Заголовок 7 Знак"/>
    <w:link w:val="7"/>
    <w:uiPriority w:val="9"/>
    <w:qFormat/>
    <w:rsid w:val="00263428"/>
    <w:rPr>
      <w:rFonts w:ascii="Cambria" w:eastAsia="Times New Roman" w:hAnsi="Cambria" w:cs="Times New Roman"/>
      <w:i/>
      <w:iCs/>
      <w:color w:val="404040"/>
    </w:rPr>
  </w:style>
  <w:style w:type="character" w:customStyle="1" w:styleId="80">
    <w:name w:val="Заголовок 8 Знак"/>
    <w:link w:val="8"/>
    <w:uiPriority w:val="9"/>
    <w:qFormat/>
    <w:rsid w:val="00263428"/>
    <w:rPr>
      <w:rFonts w:ascii="Cambria" w:eastAsia="Times New Roman" w:hAnsi="Cambria" w:cs="Times New Roman"/>
      <w:color w:val="404040"/>
      <w:sz w:val="20"/>
      <w:szCs w:val="20"/>
    </w:rPr>
  </w:style>
  <w:style w:type="character" w:customStyle="1" w:styleId="90">
    <w:name w:val="Заголовок 9 Знак"/>
    <w:link w:val="9"/>
    <w:uiPriority w:val="9"/>
    <w:qFormat/>
    <w:rsid w:val="00263428"/>
    <w:rPr>
      <w:rFonts w:ascii="Cambria" w:eastAsia="Times New Roman" w:hAnsi="Cambria" w:cs="Times New Roman"/>
      <w:i/>
      <w:iCs/>
      <w:color w:val="404040"/>
      <w:sz w:val="20"/>
      <w:szCs w:val="20"/>
    </w:rPr>
  </w:style>
  <w:style w:type="character" w:customStyle="1" w:styleId="21">
    <w:name w:val="Основной текст с отступом 2 Знак"/>
    <w:link w:val="22"/>
    <w:qFormat/>
    <w:rsid w:val="00432576"/>
    <w:rPr>
      <w:rFonts w:ascii="Times New Roman" w:eastAsia="Times New Roman" w:hAnsi="Times New Roman" w:cs="Times New Roman"/>
      <w:sz w:val="28"/>
      <w:szCs w:val="20"/>
      <w:lang w:val="en-US" w:eastAsia="ru-RU"/>
    </w:rPr>
  </w:style>
  <w:style w:type="character" w:customStyle="1" w:styleId="a3">
    <w:name w:val="Текст сноски Знак"/>
    <w:uiPriority w:val="99"/>
    <w:qFormat/>
    <w:rsid w:val="001D48AD"/>
    <w:rPr>
      <w:sz w:val="20"/>
      <w:szCs w:val="20"/>
    </w:rPr>
  </w:style>
  <w:style w:type="character" w:customStyle="1" w:styleId="a4">
    <w:name w:val="Символ сноски"/>
    <w:uiPriority w:val="99"/>
    <w:qFormat/>
    <w:rsid w:val="001D48AD"/>
    <w:rPr>
      <w:vertAlign w:val="superscript"/>
    </w:rPr>
  </w:style>
  <w:style w:type="character" w:styleId="a5">
    <w:name w:val="footnote reference"/>
    <w:rPr>
      <w:vertAlign w:val="superscript"/>
    </w:rPr>
  </w:style>
  <w:style w:type="character" w:customStyle="1" w:styleId="31">
    <w:name w:val="Основной текст с отступом 3 Знак"/>
    <w:link w:val="32"/>
    <w:qFormat/>
    <w:rsid w:val="001D48AD"/>
    <w:rPr>
      <w:rFonts w:ascii="Times New Roman" w:eastAsia="Times New Roman" w:hAnsi="Times New Roman" w:cs="Times New Roman"/>
      <w:sz w:val="16"/>
      <w:szCs w:val="16"/>
      <w:lang w:eastAsia="ru-RU"/>
    </w:rPr>
  </w:style>
  <w:style w:type="character" w:customStyle="1" w:styleId="11">
    <w:name w:val="Текст сноски Знак1"/>
    <w:link w:val="a6"/>
    <w:semiHidden/>
    <w:qFormat/>
    <w:rsid w:val="001D48AD"/>
    <w:rPr>
      <w:rFonts w:ascii="Times New Roman" w:eastAsia="Times New Roman" w:hAnsi="Times New Roman" w:cs="Times New Roman"/>
      <w:sz w:val="20"/>
      <w:szCs w:val="20"/>
      <w:lang w:eastAsia="ru-RU"/>
    </w:rPr>
  </w:style>
  <w:style w:type="character" w:customStyle="1" w:styleId="a7">
    <w:name w:val="Текст Знак"/>
    <w:link w:val="a8"/>
    <w:uiPriority w:val="99"/>
    <w:qFormat/>
    <w:rsid w:val="001D48AD"/>
    <w:rPr>
      <w:rFonts w:ascii="Courier New" w:eastAsia="Times New Roman" w:hAnsi="Courier New" w:cs="Times New Roman"/>
      <w:sz w:val="20"/>
      <w:szCs w:val="20"/>
      <w:lang w:eastAsia="ru-RU"/>
    </w:rPr>
  </w:style>
  <w:style w:type="character" w:customStyle="1" w:styleId="FontStyle18">
    <w:name w:val="Font Style18"/>
    <w:qFormat/>
    <w:rsid w:val="00FA0D5F"/>
    <w:rPr>
      <w:rFonts w:ascii="Arial" w:hAnsi="Arial"/>
      <w:sz w:val="30"/>
    </w:rPr>
  </w:style>
  <w:style w:type="character" w:customStyle="1" w:styleId="a9">
    <w:name w:val="Основной текст с отступом Знак"/>
    <w:basedOn w:val="a0"/>
    <w:link w:val="aa"/>
    <w:qFormat/>
    <w:rsid w:val="00EF1405"/>
  </w:style>
  <w:style w:type="character" w:customStyle="1" w:styleId="ab">
    <w:name w:val="Текст выноски Знак"/>
    <w:link w:val="ac"/>
    <w:uiPriority w:val="99"/>
    <w:semiHidden/>
    <w:qFormat/>
    <w:rsid w:val="00686911"/>
    <w:rPr>
      <w:rFonts w:ascii="Tahoma" w:hAnsi="Tahoma" w:cs="Tahoma"/>
      <w:sz w:val="16"/>
      <w:szCs w:val="16"/>
    </w:rPr>
  </w:style>
  <w:style w:type="character" w:customStyle="1" w:styleId="23">
    <w:name w:val="Основной текст 2 Знак"/>
    <w:basedOn w:val="a0"/>
    <w:link w:val="24"/>
    <w:uiPriority w:val="99"/>
    <w:semiHidden/>
    <w:qFormat/>
    <w:rsid w:val="0053330B"/>
  </w:style>
  <w:style w:type="character" w:customStyle="1" w:styleId="ad">
    <w:name w:val="Основной текст Знак"/>
    <w:basedOn w:val="a0"/>
    <w:link w:val="ae"/>
    <w:uiPriority w:val="99"/>
    <w:semiHidden/>
    <w:qFormat/>
    <w:rsid w:val="00A745AA"/>
  </w:style>
  <w:style w:type="character" w:customStyle="1" w:styleId="FontStyle19">
    <w:name w:val="Font Style19"/>
    <w:qFormat/>
    <w:rsid w:val="00A745AA"/>
    <w:rPr>
      <w:rFonts w:ascii="Times New Roman" w:hAnsi="Times New Roman" w:cs="Times New Roman"/>
      <w:sz w:val="36"/>
      <w:szCs w:val="36"/>
    </w:rPr>
  </w:style>
  <w:style w:type="character" w:customStyle="1" w:styleId="af">
    <w:name w:val="МВД России Знак"/>
    <w:link w:val="af0"/>
    <w:qFormat/>
    <w:rsid w:val="00A745AA"/>
    <w:rPr>
      <w:rFonts w:ascii="Times New Roman" w:eastAsia="Times New Roman" w:hAnsi="Times New Roman"/>
      <w:color w:val="000000"/>
      <w:sz w:val="28"/>
      <w:szCs w:val="22"/>
      <w:lang w:eastAsia="ru-RU" w:bidi="ar-SA"/>
    </w:rPr>
  </w:style>
  <w:style w:type="character" w:customStyle="1" w:styleId="af1">
    <w:name w:val="Знак Знак"/>
    <w:qFormat/>
    <w:rsid w:val="00A745AA"/>
    <w:rPr>
      <w:sz w:val="25"/>
      <w:szCs w:val="25"/>
      <w:lang w:bidi="ar-SA"/>
    </w:rPr>
  </w:style>
  <w:style w:type="character" w:customStyle="1" w:styleId="FontStyle14">
    <w:name w:val="Font Style14"/>
    <w:qFormat/>
    <w:rsid w:val="001613C4"/>
    <w:rPr>
      <w:rFonts w:ascii="Times New Roman" w:hAnsi="Times New Roman" w:cs="Times New Roman"/>
      <w:sz w:val="30"/>
      <w:szCs w:val="30"/>
    </w:rPr>
  </w:style>
  <w:style w:type="character" w:customStyle="1" w:styleId="af2">
    <w:name w:val="Нижний колонтитул Знак"/>
    <w:basedOn w:val="a0"/>
    <w:link w:val="af3"/>
    <w:uiPriority w:val="99"/>
    <w:qFormat/>
    <w:rsid w:val="004E6373"/>
  </w:style>
  <w:style w:type="character" w:styleId="af4">
    <w:name w:val="Emphasis"/>
    <w:qFormat/>
    <w:rsid w:val="00AD3DE3"/>
    <w:rPr>
      <w:rFonts w:cs="Times New Roman"/>
      <w:i/>
      <w:iCs/>
    </w:rPr>
  </w:style>
  <w:style w:type="character" w:customStyle="1" w:styleId="NoSpacingChar">
    <w:name w:val="No Spacing Char"/>
    <w:link w:val="12"/>
    <w:qFormat/>
    <w:locked/>
    <w:rsid w:val="00CB6854"/>
    <w:rPr>
      <w:rFonts w:ascii="Cambria" w:eastAsia="Times New Roman" w:hAnsi="Cambria" w:cs="Times New Roman"/>
      <w:sz w:val="24"/>
      <w:szCs w:val="24"/>
      <w:lang w:eastAsia="ru-RU"/>
    </w:rPr>
  </w:style>
  <w:style w:type="character" w:customStyle="1" w:styleId="af5">
    <w:name w:val="Символ концевой сноски"/>
    <w:semiHidden/>
    <w:qFormat/>
    <w:rsid w:val="00587003"/>
    <w:rPr>
      <w:vertAlign w:val="superscript"/>
    </w:rPr>
  </w:style>
  <w:style w:type="character" w:styleId="af6">
    <w:name w:val="endnote reference"/>
    <w:rPr>
      <w:vertAlign w:val="superscript"/>
    </w:rPr>
  </w:style>
  <w:style w:type="character" w:customStyle="1" w:styleId="FontStyle16">
    <w:name w:val="Font Style16"/>
    <w:qFormat/>
    <w:rsid w:val="00554B93"/>
    <w:rPr>
      <w:rFonts w:ascii="Times New Roman" w:hAnsi="Times New Roman" w:cs="Times New Roman"/>
      <w:sz w:val="24"/>
      <w:szCs w:val="24"/>
    </w:rPr>
  </w:style>
  <w:style w:type="character" w:customStyle="1" w:styleId="FontStyle12">
    <w:name w:val="Font Style12"/>
    <w:qFormat/>
    <w:rsid w:val="00554B93"/>
    <w:rPr>
      <w:rFonts w:ascii="Times New Roman" w:eastAsia="Times New Roman" w:hAnsi="Times New Roman" w:cs="Times New Roman"/>
      <w:sz w:val="26"/>
      <w:szCs w:val="26"/>
    </w:rPr>
  </w:style>
  <w:style w:type="character" w:customStyle="1" w:styleId="25">
    <w:name w:val="Знак2 Знак Знак"/>
    <w:qFormat/>
    <w:rsid w:val="00554B93"/>
    <w:rPr>
      <w:rFonts w:ascii="Courier New" w:hAnsi="Courier New" w:cs="Courier New"/>
      <w:lang w:val="ru-RU" w:eastAsia="ru-RU" w:bidi="ar-SA"/>
    </w:rPr>
  </w:style>
  <w:style w:type="character" w:customStyle="1" w:styleId="13">
    <w:name w:val="Знак Знак1"/>
    <w:semiHidden/>
    <w:qFormat/>
    <w:locked/>
    <w:rsid w:val="00DC6AC9"/>
    <w:rPr>
      <w:rFonts w:ascii="Calibri" w:eastAsia="Calibri" w:hAnsi="Calibri"/>
      <w:sz w:val="22"/>
      <w:szCs w:val="22"/>
      <w:lang w:val="ru-RU" w:eastAsia="en-US" w:bidi="ar-SA"/>
    </w:rPr>
  </w:style>
  <w:style w:type="character" w:customStyle="1" w:styleId="26">
    <w:name w:val="Знак Знак2"/>
    <w:semiHidden/>
    <w:qFormat/>
    <w:locked/>
    <w:rsid w:val="00DC6AC9"/>
    <w:rPr>
      <w:rFonts w:ascii="Calibri" w:eastAsia="Calibri" w:hAnsi="Calibri"/>
      <w:sz w:val="22"/>
      <w:szCs w:val="22"/>
      <w:lang w:val="ru-RU" w:eastAsia="en-US" w:bidi="ar-SA"/>
    </w:rPr>
  </w:style>
  <w:style w:type="character" w:customStyle="1" w:styleId="51">
    <w:name w:val="Знак Знак5"/>
    <w:semiHidden/>
    <w:qFormat/>
    <w:locked/>
    <w:rsid w:val="00DC6AC9"/>
    <w:rPr>
      <w:rFonts w:ascii="Calibri" w:eastAsia="Calibri" w:hAnsi="Calibri"/>
      <w:sz w:val="22"/>
      <w:szCs w:val="22"/>
      <w:lang w:val="ru-RU" w:eastAsia="en-US" w:bidi="ar-SA"/>
    </w:rPr>
  </w:style>
  <w:style w:type="character" w:customStyle="1" w:styleId="af7">
    <w:name w:val="Основной текст_"/>
    <w:link w:val="14"/>
    <w:qFormat/>
    <w:locked/>
    <w:rsid w:val="00DC6AC9"/>
    <w:rPr>
      <w:sz w:val="25"/>
      <w:szCs w:val="25"/>
      <w:shd w:val="clear" w:color="auto" w:fill="FFFFFF"/>
      <w:lang w:bidi="ar-SA"/>
    </w:rPr>
  </w:style>
  <w:style w:type="character" w:customStyle="1" w:styleId="ConsPlusNormal">
    <w:name w:val="ConsPlusNormal Знак"/>
    <w:link w:val="ConsPlusNormal0"/>
    <w:qFormat/>
    <w:locked/>
    <w:rsid w:val="00DC6AC9"/>
    <w:rPr>
      <w:rFonts w:ascii="Arial" w:hAnsi="Arial" w:cs="Arial"/>
      <w:lang w:val="ru-RU" w:eastAsia="ru-RU" w:bidi="ar-SA"/>
    </w:rPr>
  </w:style>
  <w:style w:type="character" w:customStyle="1" w:styleId="FontStyle13">
    <w:name w:val="Font Style13"/>
    <w:qFormat/>
    <w:rsid w:val="00DC6AC9"/>
    <w:rPr>
      <w:rFonts w:ascii="Times New Roman" w:hAnsi="Times New Roman" w:cs="Times New Roman"/>
      <w:sz w:val="26"/>
      <w:szCs w:val="26"/>
    </w:rPr>
  </w:style>
  <w:style w:type="character" w:customStyle="1" w:styleId="af8">
    <w:name w:val="Основной текст + Полужирный"/>
    <w:qFormat/>
    <w:rsid w:val="00DC6AC9"/>
    <w:rPr>
      <w:rFonts w:ascii="Times New Roman" w:hAnsi="Times New Roman" w:cs="Times New Roman"/>
      <w:b/>
      <w:bCs/>
      <w:sz w:val="28"/>
      <w:szCs w:val="28"/>
    </w:rPr>
  </w:style>
  <w:style w:type="character" w:customStyle="1" w:styleId="463">
    <w:name w:val="Основной текст (4)63"/>
    <w:qFormat/>
    <w:rsid w:val="00DC6AC9"/>
    <w:rPr>
      <w:rFonts w:ascii="Times New Roman" w:hAnsi="Times New Roman" w:cs="Times New Roman"/>
      <w:spacing w:val="0"/>
      <w:sz w:val="27"/>
      <w:szCs w:val="27"/>
      <w:lang w:bidi="ar-SA"/>
    </w:rPr>
  </w:style>
  <w:style w:type="character" w:customStyle="1" w:styleId="FontStyle51">
    <w:name w:val="Font Style51"/>
    <w:qFormat/>
    <w:rsid w:val="00150469"/>
    <w:rPr>
      <w:rFonts w:ascii="Times New Roman" w:hAnsi="Times New Roman" w:cs="Times New Roman"/>
      <w:b/>
      <w:bCs/>
      <w:sz w:val="30"/>
      <w:szCs w:val="30"/>
    </w:rPr>
  </w:style>
  <w:style w:type="character" w:styleId="af9">
    <w:name w:val="page number"/>
    <w:basedOn w:val="a0"/>
    <w:qFormat/>
    <w:rsid w:val="00150469"/>
  </w:style>
  <w:style w:type="character" w:customStyle="1" w:styleId="afa">
    <w:name w:val="Верхний колонтитул Знак"/>
    <w:link w:val="afb"/>
    <w:uiPriority w:val="99"/>
    <w:qFormat/>
    <w:rsid w:val="00574AD7"/>
    <w:rPr>
      <w:sz w:val="22"/>
      <w:szCs w:val="22"/>
      <w:lang w:eastAsia="en-US"/>
    </w:rPr>
  </w:style>
  <w:style w:type="character" w:customStyle="1" w:styleId="15">
    <w:name w:val="Заголовок №1_"/>
    <w:link w:val="16"/>
    <w:qFormat/>
    <w:locked/>
    <w:rsid w:val="002371D2"/>
    <w:rPr>
      <w:rFonts w:ascii="Times New Roman" w:hAnsi="Times New Roman"/>
      <w:spacing w:val="8"/>
      <w:sz w:val="28"/>
      <w:szCs w:val="28"/>
      <w:shd w:val="clear" w:color="auto" w:fill="FFFFFF"/>
    </w:rPr>
  </w:style>
  <w:style w:type="character" w:customStyle="1" w:styleId="27">
    <w:name w:val="Заголовок №2_"/>
    <w:link w:val="28"/>
    <w:qFormat/>
    <w:locked/>
    <w:rsid w:val="002371D2"/>
    <w:rPr>
      <w:rFonts w:ascii="Times New Roman" w:hAnsi="Times New Roman"/>
      <w:spacing w:val="7"/>
      <w:sz w:val="25"/>
      <w:szCs w:val="25"/>
      <w:shd w:val="clear" w:color="auto" w:fill="FFFFFF"/>
    </w:rPr>
  </w:style>
  <w:style w:type="character" w:customStyle="1" w:styleId="afc">
    <w:name w:val="Колонтитул_"/>
    <w:link w:val="afd"/>
    <w:qFormat/>
    <w:locked/>
    <w:rsid w:val="002371D2"/>
    <w:rPr>
      <w:rFonts w:ascii="Times New Roman" w:hAnsi="Times New Roman"/>
      <w:shd w:val="clear" w:color="auto" w:fill="FFFFFF"/>
    </w:rPr>
  </w:style>
  <w:style w:type="character" w:customStyle="1" w:styleId="afe">
    <w:name w:val="Колонтитул + Полужирный"/>
    <w:qFormat/>
    <w:rsid w:val="002371D2"/>
    <w:rPr>
      <w:rFonts w:ascii="Times New Roman" w:hAnsi="Times New Roman"/>
      <w:b/>
      <w:bCs/>
      <w:spacing w:val="7"/>
      <w:sz w:val="19"/>
      <w:szCs w:val="19"/>
      <w:shd w:val="clear" w:color="auto" w:fill="FFFFFF"/>
    </w:rPr>
  </w:style>
  <w:style w:type="character" w:customStyle="1" w:styleId="aff">
    <w:name w:val="Основной текст + Курсив"/>
    <w:qFormat/>
    <w:rsid w:val="002371D2"/>
    <w:rPr>
      <w:rFonts w:ascii="Times New Roman" w:hAnsi="Times New Roman" w:cs="Times New Roman"/>
      <w:i/>
      <w:iCs/>
      <w:spacing w:val="0"/>
      <w:sz w:val="25"/>
      <w:szCs w:val="25"/>
      <w:shd w:val="clear" w:color="auto" w:fill="FFFFFF"/>
      <w:lang w:bidi="ar-SA"/>
    </w:rPr>
  </w:style>
  <w:style w:type="character" w:customStyle="1" w:styleId="29">
    <w:name w:val="Основной текст (2)_"/>
    <w:link w:val="2a"/>
    <w:qFormat/>
    <w:locked/>
    <w:rsid w:val="002371D2"/>
    <w:rPr>
      <w:rFonts w:ascii="Times New Roman" w:hAnsi="Times New Roman"/>
      <w:sz w:val="25"/>
      <w:szCs w:val="25"/>
      <w:shd w:val="clear" w:color="auto" w:fill="FFFFFF"/>
    </w:rPr>
  </w:style>
  <w:style w:type="character" w:customStyle="1" w:styleId="100">
    <w:name w:val="Основной текст + Курсив10"/>
    <w:qFormat/>
    <w:rsid w:val="002371D2"/>
    <w:rPr>
      <w:rFonts w:ascii="Times New Roman" w:hAnsi="Times New Roman" w:cs="Times New Roman"/>
      <w:i/>
      <w:iCs/>
      <w:spacing w:val="0"/>
      <w:sz w:val="25"/>
      <w:szCs w:val="25"/>
      <w:shd w:val="clear" w:color="auto" w:fill="FFFFFF"/>
      <w:lang w:bidi="ar-SA"/>
    </w:rPr>
  </w:style>
  <w:style w:type="character" w:customStyle="1" w:styleId="91">
    <w:name w:val="Основной текст + Курсив9"/>
    <w:qFormat/>
    <w:rsid w:val="002371D2"/>
    <w:rPr>
      <w:rFonts w:ascii="Times New Roman" w:hAnsi="Times New Roman" w:cs="Times New Roman"/>
      <w:i/>
      <w:iCs/>
      <w:spacing w:val="0"/>
      <w:sz w:val="25"/>
      <w:szCs w:val="25"/>
      <w:shd w:val="clear" w:color="auto" w:fill="FFFFFF"/>
      <w:lang w:bidi="ar-SA"/>
    </w:rPr>
  </w:style>
  <w:style w:type="character" w:customStyle="1" w:styleId="2b">
    <w:name w:val="Основной текст (2) + Не курсив"/>
    <w:qFormat/>
    <w:rsid w:val="002371D2"/>
    <w:rPr>
      <w:rFonts w:ascii="Times New Roman" w:hAnsi="Times New Roman"/>
      <w:i/>
      <w:iCs/>
      <w:spacing w:val="4"/>
      <w:sz w:val="25"/>
      <w:szCs w:val="25"/>
      <w:shd w:val="clear" w:color="auto" w:fill="FFFFFF"/>
    </w:rPr>
  </w:style>
  <w:style w:type="character" w:customStyle="1" w:styleId="81">
    <w:name w:val="Основной текст + Курсив8"/>
    <w:qFormat/>
    <w:rsid w:val="002371D2"/>
    <w:rPr>
      <w:rFonts w:ascii="Times New Roman" w:hAnsi="Times New Roman" w:cs="Times New Roman"/>
      <w:i/>
      <w:iCs/>
      <w:spacing w:val="0"/>
      <w:sz w:val="25"/>
      <w:szCs w:val="25"/>
      <w:shd w:val="clear" w:color="auto" w:fill="FFFFFF"/>
      <w:lang w:bidi="ar-SA"/>
    </w:rPr>
  </w:style>
  <w:style w:type="character" w:customStyle="1" w:styleId="71">
    <w:name w:val="Основной текст + Курсив7"/>
    <w:qFormat/>
    <w:rsid w:val="002371D2"/>
    <w:rPr>
      <w:rFonts w:ascii="Times New Roman" w:hAnsi="Times New Roman" w:cs="Times New Roman"/>
      <w:i/>
      <w:iCs/>
      <w:spacing w:val="0"/>
      <w:sz w:val="25"/>
      <w:szCs w:val="25"/>
      <w:shd w:val="clear" w:color="auto" w:fill="FFFFFF"/>
      <w:lang w:bidi="ar-SA"/>
    </w:rPr>
  </w:style>
  <w:style w:type="character" w:customStyle="1" w:styleId="61">
    <w:name w:val="Основной текст + Курсив6"/>
    <w:qFormat/>
    <w:rsid w:val="002371D2"/>
    <w:rPr>
      <w:rFonts w:ascii="Times New Roman" w:hAnsi="Times New Roman" w:cs="Times New Roman"/>
      <w:i/>
      <w:iCs/>
      <w:spacing w:val="0"/>
      <w:sz w:val="25"/>
      <w:szCs w:val="25"/>
      <w:shd w:val="clear" w:color="auto" w:fill="FFFFFF"/>
      <w:lang w:bidi="ar-SA"/>
    </w:rPr>
  </w:style>
  <w:style w:type="character" w:customStyle="1" w:styleId="52">
    <w:name w:val="Основной текст + Курсив5"/>
    <w:qFormat/>
    <w:rsid w:val="002371D2"/>
    <w:rPr>
      <w:rFonts w:ascii="Times New Roman" w:hAnsi="Times New Roman" w:cs="Times New Roman"/>
      <w:i/>
      <w:iCs/>
      <w:spacing w:val="0"/>
      <w:sz w:val="25"/>
      <w:szCs w:val="25"/>
      <w:shd w:val="clear" w:color="auto" w:fill="FFFFFF"/>
      <w:lang w:bidi="ar-SA"/>
    </w:rPr>
  </w:style>
  <w:style w:type="character" w:customStyle="1" w:styleId="220">
    <w:name w:val="Основной текст (2) + Не курсив2"/>
    <w:qFormat/>
    <w:rsid w:val="002371D2"/>
    <w:rPr>
      <w:rFonts w:ascii="Times New Roman" w:hAnsi="Times New Roman"/>
      <w:i/>
      <w:iCs/>
      <w:spacing w:val="4"/>
      <w:sz w:val="25"/>
      <w:szCs w:val="25"/>
      <w:shd w:val="clear" w:color="auto" w:fill="FFFFFF"/>
    </w:rPr>
  </w:style>
  <w:style w:type="character" w:customStyle="1" w:styleId="11pt">
    <w:name w:val="Основной текст + 11 pt"/>
    <w:qFormat/>
    <w:rsid w:val="002371D2"/>
    <w:rPr>
      <w:rFonts w:ascii="Times New Roman" w:hAnsi="Times New Roman" w:cs="Times New Roman"/>
      <w:spacing w:val="5"/>
      <w:sz w:val="22"/>
      <w:szCs w:val="22"/>
      <w:shd w:val="clear" w:color="auto" w:fill="FFFFFF"/>
      <w:lang w:bidi="ar-SA"/>
    </w:rPr>
  </w:style>
  <w:style w:type="character" w:customStyle="1" w:styleId="41">
    <w:name w:val="Основной текст + Курсив4"/>
    <w:qFormat/>
    <w:rsid w:val="002371D2"/>
    <w:rPr>
      <w:rFonts w:ascii="Times New Roman" w:hAnsi="Times New Roman" w:cs="Times New Roman"/>
      <w:i/>
      <w:iCs/>
      <w:spacing w:val="0"/>
      <w:sz w:val="25"/>
      <w:szCs w:val="25"/>
      <w:shd w:val="clear" w:color="auto" w:fill="FFFFFF"/>
      <w:lang w:bidi="ar-SA"/>
    </w:rPr>
  </w:style>
  <w:style w:type="character" w:customStyle="1" w:styleId="33">
    <w:name w:val="Основной текст + Курсив3"/>
    <w:qFormat/>
    <w:rsid w:val="002371D2"/>
    <w:rPr>
      <w:rFonts w:ascii="Times New Roman" w:hAnsi="Times New Roman" w:cs="Times New Roman"/>
      <w:i/>
      <w:iCs/>
      <w:spacing w:val="0"/>
      <w:sz w:val="25"/>
      <w:szCs w:val="25"/>
      <w:shd w:val="clear" w:color="auto" w:fill="FFFFFF"/>
      <w:lang w:bidi="ar-SA"/>
    </w:rPr>
  </w:style>
  <w:style w:type="character" w:customStyle="1" w:styleId="34">
    <w:name w:val="Основной текст (3)_"/>
    <w:link w:val="35"/>
    <w:qFormat/>
    <w:locked/>
    <w:rsid w:val="002371D2"/>
    <w:rPr>
      <w:rFonts w:ascii="Times New Roman" w:hAnsi="Times New Roman"/>
      <w:spacing w:val="7"/>
      <w:sz w:val="25"/>
      <w:szCs w:val="25"/>
      <w:shd w:val="clear" w:color="auto" w:fill="FFFFFF"/>
    </w:rPr>
  </w:style>
  <w:style w:type="character" w:customStyle="1" w:styleId="2c">
    <w:name w:val="Основной текст + Курсив2"/>
    <w:qFormat/>
    <w:rsid w:val="002371D2"/>
    <w:rPr>
      <w:rFonts w:ascii="Times New Roman" w:hAnsi="Times New Roman" w:cs="Times New Roman"/>
      <w:i/>
      <w:iCs/>
      <w:spacing w:val="0"/>
      <w:sz w:val="25"/>
      <w:szCs w:val="25"/>
      <w:shd w:val="clear" w:color="auto" w:fill="FFFFFF"/>
      <w:lang w:bidi="ar-SA"/>
    </w:rPr>
  </w:style>
  <w:style w:type="character" w:customStyle="1" w:styleId="17">
    <w:name w:val="Основной текст + Курсив1"/>
    <w:qFormat/>
    <w:rsid w:val="002371D2"/>
    <w:rPr>
      <w:rFonts w:ascii="Times New Roman" w:hAnsi="Times New Roman" w:cs="Times New Roman"/>
      <w:i/>
      <w:iCs/>
      <w:spacing w:val="0"/>
      <w:sz w:val="25"/>
      <w:szCs w:val="25"/>
      <w:shd w:val="clear" w:color="auto" w:fill="FFFFFF"/>
      <w:lang w:bidi="ar-SA"/>
    </w:rPr>
  </w:style>
  <w:style w:type="character" w:customStyle="1" w:styleId="210">
    <w:name w:val="Основной текст (2) + Не курсив1"/>
    <w:qFormat/>
    <w:rsid w:val="002371D2"/>
    <w:rPr>
      <w:rFonts w:ascii="Times New Roman" w:hAnsi="Times New Roman"/>
      <w:i/>
      <w:iCs/>
      <w:spacing w:val="4"/>
      <w:sz w:val="25"/>
      <w:szCs w:val="25"/>
      <w:shd w:val="clear" w:color="auto" w:fill="FFFFFF"/>
    </w:rPr>
  </w:style>
  <w:style w:type="character" w:customStyle="1" w:styleId="42">
    <w:name w:val="Основной текст (4)_"/>
    <w:link w:val="43"/>
    <w:qFormat/>
    <w:locked/>
    <w:rsid w:val="002371D2"/>
    <w:rPr>
      <w:rFonts w:ascii="Times New Roman" w:hAnsi="Times New Roman"/>
      <w:spacing w:val="5"/>
      <w:sz w:val="15"/>
      <w:szCs w:val="15"/>
      <w:shd w:val="clear" w:color="auto" w:fill="FFFFFF"/>
    </w:rPr>
  </w:style>
  <w:style w:type="character" w:customStyle="1" w:styleId="2d">
    <w:name w:val="Заголовок №2 + Не полужирный"/>
    <w:qFormat/>
    <w:rsid w:val="002371D2"/>
    <w:rPr>
      <w:rFonts w:ascii="Times New Roman" w:hAnsi="Times New Roman"/>
      <w:b/>
      <w:bCs/>
      <w:spacing w:val="4"/>
      <w:sz w:val="25"/>
      <w:szCs w:val="25"/>
      <w:shd w:val="clear" w:color="auto" w:fill="FFFFFF"/>
    </w:rPr>
  </w:style>
  <w:style w:type="character" w:styleId="aff0">
    <w:name w:val="Hyperlink"/>
    <w:uiPriority w:val="99"/>
    <w:unhideWhenUsed/>
    <w:rsid w:val="00CB16E7"/>
    <w:rPr>
      <w:color w:val="0000FF"/>
      <w:u w:val="single"/>
    </w:rPr>
  </w:style>
  <w:style w:type="character" w:customStyle="1" w:styleId="10">
    <w:name w:val="Заголовок 1 Знак"/>
    <w:link w:val="1"/>
    <w:uiPriority w:val="99"/>
    <w:qFormat/>
    <w:locked/>
    <w:rsid w:val="00D05E77"/>
    <w:rPr>
      <w:rFonts w:ascii="Cambria" w:eastAsia="Times New Roman" w:hAnsi="Cambria"/>
      <w:b/>
      <w:bCs/>
      <w:color w:val="365F91"/>
      <w:sz w:val="28"/>
      <w:szCs w:val="28"/>
      <w:lang w:eastAsia="en-US"/>
    </w:rPr>
  </w:style>
  <w:style w:type="character" w:customStyle="1" w:styleId="310">
    <w:name w:val="Знак Знак31"/>
    <w:uiPriority w:val="99"/>
    <w:qFormat/>
    <w:rsid w:val="00D05E77"/>
    <w:rPr>
      <w:sz w:val="28"/>
    </w:rPr>
  </w:style>
  <w:style w:type="character" w:customStyle="1" w:styleId="fontstyle01">
    <w:name w:val="fontstyle01"/>
    <w:basedOn w:val="a0"/>
    <w:qFormat/>
    <w:rsid w:val="00121748"/>
    <w:rPr>
      <w:rFonts w:ascii="Times New Roman" w:hAnsi="Times New Roman" w:cs="Times New Roman"/>
      <w:b w:val="0"/>
      <w:bCs w:val="0"/>
      <w:i w:val="0"/>
      <w:iCs w:val="0"/>
      <w:color w:val="000000"/>
      <w:sz w:val="22"/>
      <w:szCs w:val="22"/>
    </w:rPr>
  </w:style>
  <w:style w:type="character" w:customStyle="1" w:styleId="0">
    <w:name w:val="Стиль0 Знак"/>
    <w:link w:val="00"/>
    <w:qFormat/>
    <w:locked/>
    <w:rsid w:val="00960FAE"/>
    <w:rPr>
      <w:rFonts w:ascii="Times New Roman" w:hAnsi="Times New Roman"/>
      <w:sz w:val="28"/>
      <w:szCs w:val="28"/>
      <w:lang w:val="x-none"/>
    </w:rPr>
  </w:style>
  <w:style w:type="character" w:customStyle="1" w:styleId="aff1">
    <w:name w:val="Абзац списка Знак"/>
    <w:link w:val="aff2"/>
    <w:qFormat/>
    <w:rsid w:val="00960FAE"/>
    <w:rPr>
      <w:sz w:val="22"/>
      <w:szCs w:val="22"/>
      <w:lang w:eastAsia="en-US"/>
    </w:rPr>
  </w:style>
  <w:style w:type="character" w:customStyle="1" w:styleId="aff3">
    <w:name w:val="Ссылка указателя"/>
    <w:qFormat/>
  </w:style>
  <w:style w:type="paragraph" w:styleId="aff4">
    <w:name w:val="Title"/>
    <w:basedOn w:val="a"/>
    <w:next w:val="ae"/>
    <w:qFormat/>
    <w:pPr>
      <w:keepNext/>
      <w:spacing w:before="240" w:after="120"/>
    </w:pPr>
    <w:rPr>
      <w:rFonts w:ascii="Open Sans" w:eastAsia="Tahoma" w:hAnsi="Open Sans" w:cs="Lohit Devanagari"/>
      <w:sz w:val="28"/>
      <w:szCs w:val="28"/>
    </w:rPr>
  </w:style>
  <w:style w:type="paragraph" w:styleId="ae">
    <w:name w:val="Body Text"/>
    <w:basedOn w:val="a"/>
    <w:link w:val="ad"/>
    <w:uiPriority w:val="99"/>
    <w:semiHidden/>
    <w:unhideWhenUsed/>
    <w:rsid w:val="00A745AA"/>
    <w:pPr>
      <w:spacing w:after="120"/>
    </w:pPr>
  </w:style>
  <w:style w:type="paragraph" w:styleId="aff5">
    <w:name w:val="List"/>
    <w:basedOn w:val="ae"/>
    <w:rPr>
      <w:rFonts w:cs="Lohit Devanagari"/>
    </w:rPr>
  </w:style>
  <w:style w:type="paragraph" w:styleId="aff6">
    <w:name w:val="caption"/>
    <w:basedOn w:val="a"/>
    <w:qFormat/>
    <w:pPr>
      <w:suppressLineNumbers/>
      <w:spacing w:before="120" w:after="120"/>
    </w:pPr>
    <w:rPr>
      <w:rFonts w:cs="Lohit Devanagari"/>
      <w:i/>
      <w:iCs/>
      <w:sz w:val="24"/>
      <w:szCs w:val="24"/>
    </w:rPr>
  </w:style>
  <w:style w:type="paragraph" w:styleId="aff7">
    <w:name w:val="index heading"/>
    <w:basedOn w:val="aff4"/>
  </w:style>
  <w:style w:type="paragraph" w:styleId="22">
    <w:name w:val="Body Text Indent 2"/>
    <w:basedOn w:val="a"/>
    <w:link w:val="21"/>
    <w:qFormat/>
    <w:rsid w:val="00432576"/>
    <w:pPr>
      <w:ind w:firstLine="567"/>
      <w:jc w:val="both"/>
    </w:pPr>
    <w:rPr>
      <w:rFonts w:ascii="Times New Roman" w:eastAsia="Times New Roman" w:hAnsi="Times New Roman"/>
      <w:sz w:val="28"/>
      <w:szCs w:val="20"/>
      <w:lang w:val="en-US" w:eastAsia="ru-RU"/>
    </w:rPr>
  </w:style>
  <w:style w:type="paragraph" w:customStyle="1" w:styleId="Standard">
    <w:name w:val="Standard"/>
    <w:qFormat/>
    <w:rsid w:val="00432576"/>
    <w:pPr>
      <w:textAlignment w:val="baseline"/>
    </w:pPr>
    <w:rPr>
      <w:rFonts w:ascii="Times New Roman" w:eastAsia="Times New Roman" w:hAnsi="Times New Roman"/>
      <w:kern w:val="2"/>
      <w:sz w:val="28"/>
      <w:lang w:eastAsia="zh-CN"/>
    </w:rPr>
  </w:style>
  <w:style w:type="paragraph" w:customStyle="1" w:styleId="311">
    <w:name w:val="Основной текст с отступом 31"/>
    <w:basedOn w:val="a"/>
    <w:qFormat/>
    <w:rsid w:val="00432576"/>
    <w:pPr>
      <w:spacing w:after="91" w:line="480" w:lineRule="atLeast"/>
      <w:ind w:firstLine="720"/>
      <w:jc w:val="both"/>
    </w:pPr>
    <w:rPr>
      <w:rFonts w:ascii="Arial" w:eastAsia="Times New Roman" w:hAnsi="Arial"/>
      <w:sz w:val="28"/>
      <w:szCs w:val="20"/>
      <w:lang w:eastAsia="ru-RU"/>
    </w:rPr>
  </w:style>
  <w:style w:type="paragraph" w:customStyle="1" w:styleId="aff8">
    <w:name w:val="Абзац"/>
    <w:basedOn w:val="a"/>
    <w:autoRedefine/>
    <w:qFormat/>
    <w:rsid w:val="001739BA"/>
    <w:pPr>
      <w:tabs>
        <w:tab w:val="left" w:pos="8640"/>
      </w:tabs>
      <w:ind w:firstLine="709"/>
      <w:jc w:val="both"/>
    </w:pPr>
    <w:rPr>
      <w:rFonts w:ascii="Times New Roman" w:eastAsia="Times New Roman" w:hAnsi="Times New Roman"/>
      <w:sz w:val="28"/>
      <w:szCs w:val="28"/>
      <w:lang w:eastAsia="ru-RU"/>
    </w:rPr>
  </w:style>
  <w:style w:type="paragraph" w:styleId="a6">
    <w:name w:val="footnote text"/>
    <w:basedOn w:val="a"/>
    <w:link w:val="11"/>
    <w:uiPriority w:val="99"/>
    <w:rsid w:val="001D48AD"/>
    <w:rPr>
      <w:rFonts w:ascii="Times New Roman" w:eastAsia="Times New Roman" w:hAnsi="Times New Roman"/>
      <w:sz w:val="20"/>
      <w:szCs w:val="20"/>
      <w:lang w:val="x-none" w:eastAsia="ru-RU"/>
    </w:rPr>
  </w:style>
  <w:style w:type="paragraph" w:styleId="32">
    <w:name w:val="Body Text Indent 3"/>
    <w:basedOn w:val="a"/>
    <w:link w:val="31"/>
    <w:qFormat/>
    <w:rsid w:val="001D48AD"/>
    <w:pPr>
      <w:spacing w:after="120"/>
      <w:ind w:left="283"/>
    </w:pPr>
    <w:rPr>
      <w:rFonts w:ascii="Times New Roman" w:eastAsia="Times New Roman" w:hAnsi="Times New Roman"/>
      <w:sz w:val="16"/>
      <w:szCs w:val="16"/>
      <w:lang w:eastAsia="ru-RU"/>
    </w:rPr>
  </w:style>
  <w:style w:type="paragraph" w:styleId="a8">
    <w:name w:val="Plain Text"/>
    <w:basedOn w:val="a"/>
    <w:link w:val="a7"/>
    <w:qFormat/>
    <w:rsid w:val="001D48AD"/>
    <w:rPr>
      <w:rFonts w:ascii="Courier New" w:eastAsia="Times New Roman" w:hAnsi="Courier New"/>
      <w:sz w:val="20"/>
      <w:szCs w:val="20"/>
      <w:lang w:eastAsia="ru-RU"/>
    </w:rPr>
  </w:style>
  <w:style w:type="paragraph" w:customStyle="1" w:styleId="211">
    <w:name w:val="Основной текст с отступом 21"/>
    <w:basedOn w:val="a"/>
    <w:qFormat/>
    <w:rsid w:val="001D48AD"/>
    <w:pPr>
      <w:spacing w:after="120" w:line="480" w:lineRule="auto"/>
      <w:ind w:left="283"/>
    </w:pPr>
    <w:rPr>
      <w:rFonts w:ascii="Times New Roman" w:eastAsia="PMingLiU" w:hAnsi="Times New Roman"/>
      <w:sz w:val="24"/>
      <w:szCs w:val="24"/>
      <w:lang w:eastAsia="ar-SA"/>
    </w:rPr>
  </w:style>
  <w:style w:type="paragraph" w:customStyle="1" w:styleId="ConsPlusNormal0">
    <w:name w:val="ConsPlusNormal"/>
    <w:link w:val="ConsPlusNormal"/>
    <w:qFormat/>
    <w:rsid w:val="00FA0D5F"/>
    <w:pPr>
      <w:widowControl w:val="0"/>
      <w:ind w:firstLine="720"/>
    </w:pPr>
    <w:rPr>
      <w:rFonts w:ascii="Arial" w:hAnsi="Arial" w:cs="Arial"/>
    </w:rPr>
  </w:style>
  <w:style w:type="paragraph" w:styleId="aff9">
    <w:name w:val="Normal (Web)"/>
    <w:basedOn w:val="a"/>
    <w:uiPriority w:val="99"/>
    <w:qFormat/>
    <w:rsid w:val="00FA0D5F"/>
    <w:pPr>
      <w:spacing w:beforeAutospacing="1" w:afterAutospacing="1"/>
    </w:pPr>
    <w:rPr>
      <w:rFonts w:ascii="Times New Roman" w:eastAsia="Times New Roman" w:hAnsi="Times New Roman"/>
      <w:sz w:val="24"/>
      <w:szCs w:val="24"/>
      <w:lang w:eastAsia="ru-RU"/>
    </w:rPr>
  </w:style>
  <w:style w:type="paragraph" w:customStyle="1" w:styleId="140">
    <w:name w:val="Обычный + 14 пт"/>
    <w:qFormat/>
    <w:rsid w:val="00EF1405"/>
    <w:pPr>
      <w:ind w:firstLine="601"/>
      <w:jc w:val="both"/>
    </w:pPr>
    <w:rPr>
      <w:rFonts w:ascii="Times New Roman" w:eastAsia="Times New Roman" w:hAnsi="Times New Roman"/>
      <w:sz w:val="28"/>
      <w:szCs w:val="28"/>
    </w:rPr>
  </w:style>
  <w:style w:type="paragraph" w:customStyle="1" w:styleId="212">
    <w:name w:val="Основной текст 21"/>
    <w:basedOn w:val="a"/>
    <w:qFormat/>
    <w:rsid w:val="00EF1405"/>
    <w:pPr>
      <w:ind w:firstLine="709"/>
      <w:jc w:val="both"/>
    </w:pPr>
    <w:rPr>
      <w:rFonts w:ascii="Times New Roman" w:eastAsia="Times New Roman" w:hAnsi="Times New Roman"/>
      <w:sz w:val="28"/>
      <w:szCs w:val="20"/>
      <w:lang w:eastAsia="ru-RU"/>
    </w:rPr>
  </w:style>
  <w:style w:type="paragraph" w:styleId="aa">
    <w:name w:val="Body Text Indent"/>
    <w:basedOn w:val="a"/>
    <w:link w:val="a9"/>
    <w:unhideWhenUsed/>
    <w:rsid w:val="00EF1405"/>
    <w:pPr>
      <w:spacing w:after="120"/>
      <w:ind w:left="283"/>
    </w:pPr>
  </w:style>
  <w:style w:type="paragraph" w:styleId="ac">
    <w:name w:val="Balloon Text"/>
    <w:basedOn w:val="a"/>
    <w:link w:val="ab"/>
    <w:uiPriority w:val="99"/>
    <w:semiHidden/>
    <w:unhideWhenUsed/>
    <w:qFormat/>
    <w:rsid w:val="00686911"/>
    <w:rPr>
      <w:rFonts w:ascii="Tahoma" w:hAnsi="Tahoma" w:cs="Tahoma"/>
      <w:sz w:val="16"/>
      <w:szCs w:val="16"/>
    </w:rPr>
  </w:style>
  <w:style w:type="paragraph" w:customStyle="1" w:styleId="affa">
    <w:name w:val="Мой стиль"/>
    <w:basedOn w:val="24"/>
    <w:autoRedefine/>
    <w:qFormat/>
    <w:rsid w:val="0053330B"/>
    <w:pPr>
      <w:keepNext/>
      <w:widowControl w:val="0"/>
      <w:spacing w:after="0" w:line="240" w:lineRule="auto"/>
      <w:ind w:firstLine="720"/>
      <w:jc w:val="both"/>
    </w:pPr>
    <w:rPr>
      <w:rFonts w:ascii="Times New Roman" w:eastAsia="Times New Roman" w:hAnsi="Times New Roman"/>
      <w:sz w:val="28"/>
      <w:szCs w:val="28"/>
      <w:lang w:eastAsia="ru-RU"/>
    </w:rPr>
  </w:style>
  <w:style w:type="paragraph" w:styleId="24">
    <w:name w:val="Body Text 2"/>
    <w:basedOn w:val="a"/>
    <w:link w:val="23"/>
    <w:uiPriority w:val="99"/>
    <w:semiHidden/>
    <w:unhideWhenUsed/>
    <w:qFormat/>
    <w:rsid w:val="0053330B"/>
    <w:pPr>
      <w:spacing w:after="120" w:line="480" w:lineRule="auto"/>
    </w:pPr>
  </w:style>
  <w:style w:type="paragraph" w:customStyle="1" w:styleId="2e">
    <w:name w:val="Стиль2"/>
    <w:basedOn w:val="a"/>
    <w:qFormat/>
    <w:rsid w:val="00DB5B46"/>
    <w:pPr>
      <w:spacing w:line="360" w:lineRule="auto"/>
      <w:ind w:firstLine="720"/>
      <w:jc w:val="both"/>
    </w:pPr>
    <w:rPr>
      <w:rFonts w:ascii="Times New Roman" w:eastAsia="Times New Roman" w:hAnsi="Times New Roman"/>
      <w:sz w:val="28"/>
      <w:szCs w:val="28"/>
      <w:lang w:eastAsia="ru-RU"/>
    </w:rPr>
  </w:style>
  <w:style w:type="paragraph" w:customStyle="1" w:styleId="320">
    <w:name w:val="Основной текст с отступом 32"/>
    <w:basedOn w:val="a"/>
    <w:qFormat/>
    <w:rsid w:val="003707AF"/>
    <w:pPr>
      <w:spacing w:after="91" w:line="480" w:lineRule="atLeast"/>
      <w:ind w:firstLine="720"/>
      <w:jc w:val="both"/>
    </w:pPr>
    <w:rPr>
      <w:rFonts w:ascii="Arial" w:eastAsia="Times New Roman" w:hAnsi="Arial"/>
      <w:sz w:val="28"/>
      <w:szCs w:val="20"/>
      <w:lang w:eastAsia="ru-RU"/>
    </w:rPr>
  </w:style>
  <w:style w:type="paragraph" w:customStyle="1" w:styleId="Style3">
    <w:name w:val="Style3"/>
    <w:basedOn w:val="a"/>
    <w:qFormat/>
    <w:rsid w:val="006F0D4C"/>
    <w:pPr>
      <w:widowControl w:val="0"/>
      <w:spacing w:line="310" w:lineRule="exact"/>
      <w:ind w:firstLine="536"/>
      <w:jc w:val="both"/>
    </w:pPr>
    <w:rPr>
      <w:rFonts w:ascii="Times New Roman" w:eastAsia="Times New Roman" w:hAnsi="Times New Roman"/>
      <w:sz w:val="24"/>
      <w:szCs w:val="24"/>
      <w:lang w:eastAsia="ru-RU"/>
    </w:rPr>
  </w:style>
  <w:style w:type="paragraph" w:customStyle="1" w:styleId="af0">
    <w:name w:val="МВД России"/>
    <w:link w:val="af"/>
    <w:qFormat/>
    <w:rsid w:val="00A745AA"/>
    <w:pPr>
      <w:ind w:firstLine="709"/>
      <w:jc w:val="both"/>
    </w:pPr>
    <w:rPr>
      <w:rFonts w:ascii="Times New Roman" w:eastAsia="Times New Roman" w:hAnsi="Times New Roman"/>
      <w:color w:val="000000"/>
      <w:sz w:val="28"/>
      <w:szCs w:val="22"/>
    </w:rPr>
  </w:style>
  <w:style w:type="paragraph" w:styleId="affb">
    <w:name w:val="No Spacing"/>
    <w:uiPriority w:val="1"/>
    <w:qFormat/>
    <w:rsid w:val="00BD53EF"/>
    <w:rPr>
      <w:rFonts w:ascii="Times New Roman" w:eastAsia="Times New Roman" w:hAnsi="Times New Roman"/>
    </w:rPr>
  </w:style>
  <w:style w:type="paragraph" w:styleId="aff2">
    <w:name w:val="List Paragraph"/>
    <w:basedOn w:val="a"/>
    <w:link w:val="aff1"/>
    <w:qFormat/>
    <w:rsid w:val="00721DA8"/>
    <w:pPr>
      <w:ind w:left="720"/>
      <w:contextualSpacing/>
    </w:pPr>
  </w:style>
  <w:style w:type="paragraph" w:customStyle="1" w:styleId="18">
    <w:name w:val="1 Знак"/>
    <w:basedOn w:val="a"/>
    <w:qFormat/>
    <w:rsid w:val="006A4C30"/>
    <w:pPr>
      <w:spacing w:after="160" w:line="240" w:lineRule="exact"/>
    </w:pPr>
    <w:rPr>
      <w:rFonts w:ascii="Verdana" w:eastAsia="Times New Roman" w:hAnsi="Verdana" w:cs="Verdana"/>
      <w:sz w:val="24"/>
      <w:szCs w:val="24"/>
      <w:lang w:val="en-US"/>
    </w:rPr>
  </w:style>
  <w:style w:type="paragraph" w:customStyle="1" w:styleId="affc">
    <w:name w:val="Знак Знак Знак Знак"/>
    <w:basedOn w:val="a"/>
    <w:autoRedefine/>
    <w:qFormat/>
    <w:rsid w:val="001613C4"/>
    <w:pPr>
      <w:spacing w:after="160" w:line="240" w:lineRule="exact"/>
      <w:ind w:left="26"/>
    </w:pPr>
    <w:rPr>
      <w:rFonts w:ascii="Times New Roman" w:eastAsia="Times New Roman" w:hAnsi="Times New Roman"/>
      <w:sz w:val="24"/>
      <w:szCs w:val="24"/>
      <w:lang w:val="en-US"/>
    </w:rPr>
  </w:style>
  <w:style w:type="paragraph" w:customStyle="1" w:styleId="19">
    <w:name w:val="Знак1 Знак Знак Знак"/>
    <w:basedOn w:val="a"/>
    <w:qFormat/>
    <w:rsid w:val="00E314C4"/>
    <w:pPr>
      <w:spacing w:beforeAutospacing="1" w:afterAutospacing="1"/>
    </w:pPr>
    <w:rPr>
      <w:rFonts w:ascii="Tahoma" w:eastAsia="Times New Roman" w:hAnsi="Tahoma"/>
      <w:sz w:val="20"/>
      <w:szCs w:val="20"/>
      <w:lang w:val="en-US"/>
    </w:rPr>
  </w:style>
  <w:style w:type="paragraph" w:customStyle="1" w:styleId="afd">
    <w:name w:val="Колонтитул"/>
    <w:basedOn w:val="a"/>
    <w:link w:val="afc"/>
    <w:qFormat/>
    <w:rsid w:val="002371D2"/>
    <w:pPr>
      <w:shd w:val="clear" w:color="auto" w:fill="FFFFFF"/>
    </w:pPr>
    <w:rPr>
      <w:rFonts w:ascii="Times New Roman" w:hAnsi="Times New Roman"/>
      <w:sz w:val="20"/>
      <w:szCs w:val="20"/>
      <w:lang w:eastAsia="ru-RU"/>
    </w:rPr>
  </w:style>
  <w:style w:type="paragraph" w:styleId="af3">
    <w:name w:val="footer"/>
    <w:basedOn w:val="a"/>
    <w:link w:val="af2"/>
    <w:uiPriority w:val="99"/>
    <w:unhideWhenUsed/>
    <w:rsid w:val="004E6373"/>
    <w:pPr>
      <w:tabs>
        <w:tab w:val="center" w:pos="4677"/>
        <w:tab w:val="right" w:pos="9355"/>
      </w:tabs>
    </w:pPr>
  </w:style>
  <w:style w:type="paragraph" w:customStyle="1" w:styleId="44">
    <w:name w:val="Знак Знак Знак Знак4"/>
    <w:basedOn w:val="a"/>
    <w:autoRedefine/>
    <w:qFormat/>
    <w:rsid w:val="00553910"/>
    <w:pPr>
      <w:spacing w:after="160" w:line="240" w:lineRule="exact"/>
      <w:ind w:left="26"/>
    </w:pPr>
    <w:rPr>
      <w:rFonts w:ascii="Times New Roman" w:eastAsia="Times New Roman" w:hAnsi="Times New Roman"/>
      <w:sz w:val="24"/>
      <w:szCs w:val="24"/>
      <w:lang w:val="en-US"/>
    </w:rPr>
  </w:style>
  <w:style w:type="paragraph" w:customStyle="1" w:styleId="130">
    <w:name w:val="Знак1 Знак Знак Знак3"/>
    <w:basedOn w:val="a"/>
    <w:qFormat/>
    <w:rsid w:val="007559C4"/>
    <w:pPr>
      <w:spacing w:beforeAutospacing="1" w:afterAutospacing="1"/>
    </w:pPr>
    <w:rPr>
      <w:rFonts w:ascii="Tahoma" w:eastAsia="Times New Roman" w:hAnsi="Tahoma"/>
      <w:sz w:val="20"/>
      <w:szCs w:val="20"/>
      <w:lang w:val="en-US"/>
    </w:rPr>
  </w:style>
  <w:style w:type="paragraph" w:customStyle="1" w:styleId="36">
    <w:name w:val="Знак Знак Знак Знак3"/>
    <w:basedOn w:val="a"/>
    <w:autoRedefine/>
    <w:qFormat/>
    <w:rsid w:val="00D9776B"/>
    <w:pPr>
      <w:spacing w:after="160" w:line="240" w:lineRule="exact"/>
      <w:ind w:left="26"/>
    </w:pPr>
    <w:rPr>
      <w:rFonts w:ascii="Times New Roman" w:eastAsia="Times New Roman" w:hAnsi="Times New Roman"/>
      <w:sz w:val="24"/>
      <w:szCs w:val="24"/>
      <w:lang w:val="en-US"/>
    </w:rPr>
  </w:style>
  <w:style w:type="paragraph" w:customStyle="1" w:styleId="221">
    <w:name w:val="Основной текст 22"/>
    <w:basedOn w:val="a"/>
    <w:qFormat/>
    <w:rsid w:val="00FC4EB5"/>
    <w:pPr>
      <w:ind w:firstLine="720"/>
      <w:jc w:val="both"/>
    </w:pPr>
    <w:rPr>
      <w:rFonts w:ascii="Times New Roman" w:eastAsia="Times New Roman" w:hAnsi="Times New Roman"/>
      <w:sz w:val="28"/>
      <w:szCs w:val="20"/>
      <w:lang w:eastAsia="ru-RU"/>
    </w:rPr>
  </w:style>
  <w:style w:type="paragraph" w:customStyle="1" w:styleId="120">
    <w:name w:val="Знак1 Знак Знак Знак2"/>
    <w:basedOn w:val="a"/>
    <w:qFormat/>
    <w:rsid w:val="00AD3DE3"/>
    <w:pPr>
      <w:spacing w:beforeAutospacing="1" w:afterAutospacing="1"/>
    </w:pPr>
    <w:rPr>
      <w:rFonts w:ascii="Tahoma" w:eastAsia="Times New Roman" w:hAnsi="Tahoma"/>
      <w:sz w:val="20"/>
      <w:szCs w:val="20"/>
      <w:lang w:val="en-US"/>
    </w:rPr>
  </w:style>
  <w:style w:type="paragraph" w:customStyle="1" w:styleId="110">
    <w:name w:val="Знак1 Знак Знак Знак1 Знак Знак Знак"/>
    <w:basedOn w:val="a"/>
    <w:qFormat/>
    <w:rsid w:val="003805D3"/>
    <w:pPr>
      <w:spacing w:after="160" w:line="240" w:lineRule="exact"/>
    </w:pPr>
    <w:rPr>
      <w:rFonts w:ascii="Verdana" w:eastAsia="Times New Roman" w:hAnsi="Verdana"/>
      <w:sz w:val="24"/>
      <w:szCs w:val="24"/>
      <w:lang w:val="en-US"/>
    </w:rPr>
  </w:style>
  <w:style w:type="paragraph" w:customStyle="1" w:styleId="1a">
    <w:name w:val="Абзац списка1"/>
    <w:basedOn w:val="a"/>
    <w:qFormat/>
    <w:rsid w:val="003805D3"/>
    <w:pPr>
      <w:spacing w:after="200" w:line="276" w:lineRule="auto"/>
      <w:ind w:left="720"/>
      <w:contextualSpacing/>
    </w:pPr>
    <w:rPr>
      <w:rFonts w:eastAsia="Times New Roman"/>
      <w:lang w:eastAsia="ru-RU"/>
    </w:rPr>
  </w:style>
  <w:style w:type="paragraph" w:customStyle="1" w:styleId="111">
    <w:name w:val="Знак1 Знак Знак Знак1"/>
    <w:basedOn w:val="a"/>
    <w:qFormat/>
    <w:rsid w:val="00B16FDE"/>
    <w:pPr>
      <w:spacing w:beforeAutospacing="1" w:afterAutospacing="1"/>
    </w:pPr>
    <w:rPr>
      <w:rFonts w:ascii="Tahoma" w:eastAsia="Times New Roman" w:hAnsi="Tahoma"/>
      <w:sz w:val="20"/>
      <w:szCs w:val="20"/>
      <w:lang w:val="en-US"/>
    </w:rPr>
  </w:style>
  <w:style w:type="paragraph" w:customStyle="1" w:styleId="2f">
    <w:name w:val="Знак Знак Знак Знак2"/>
    <w:basedOn w:val="a"/>
    <w:autoRedefine/>
    <w:qFormat/>
    <w:rsid w:val="007345B8"/>
    <w:pPr>
      <w:spacing w:after="160" w:line="240" w:lineRule="exact"/>
      <w:ind w:left="26"/>
    </w:pPr>
    <w:rPr>
      <w:rFonts w:ascii="Times New Roman" w:eastAsia="Times New Roman" w:hAnsi="Times New Roman"/>
      <w:sz w:val="24"/>
      <w:szCs w:val="24"/>
      <w:lang w:val="en-US"/>
    </w:rPr>
  </w:style>
  <w:style w:type="paragraph" w:customStyle="1" w:styleId="12">
    <w:name w:val="Без интервала1"/>
    <w:basedOn w:val="a"/>
    <w:link w:val="NoSpacingChar"/>
    <w:qFormat/>
    <w:rsid w:val="00CB6854"/>
    <w:pPr>
      <w:ind w:firstLine="709"/>
      <w:jc w:val="both"/>
    </w:pPr>
    <w:rPr>
      <w:rFonts w:ascii="Cambria" w:eastAsia="Times New Roman" w:hAnsi="Cambria"/>
      <w:sz w:val="24"/>
      <w:szCs w:val="24"/>
      <w:lang w:eastAsia="ru-RU"/>
    </w:rPr>
  </w:style>
  <w:style w:type="paragraph" w:styleId="affd">
    <w:name w:val="endnote text"/>
    <w:basedOn w:val="a"/>
    <w:semiHidden/>
    <w:rsid w:val="00587003"/>
    <w:rPr>
      <w:sz w:val="20"/>
      <w:szCs w:val="20"/>
    </w:rPr>
  </w:style>
  <w:style w:type="paragraph" w:styleId="afb">
    <w:name w:val="header"/>
    <w:basedOn w:val="a"/>
    <w:link w:val="afa"/>
    <w:uiPriority w:val="99"/>
    <w:rsid w:val="00E719FC"/>
    <w:pPr>
      <w:tabs>
        <w:tab w:val="center" w:pos="4677"/>
        <w:tab w:val="right" w:pos="9355"/>
      </w:tabs>
    </w:pPr>
  </w:style>
  <w:style w:type="paragraph" w:customStyle="1" w:styleId="1b">
    <w:name w:val="Знак Знак Знак Знак1"/>
    <w:basedOn w:val="a"/>
    <w:autoRedefine/>
    <w:qFormat/>
    <w:rsid w:val="00554B93"/>
    <w:pPr>
      <w:spacing w:after="160" w:line="240" w:lineRule="exact"/>
      <w:ind w:left="26"/>
    </w:pPr>
    <w:rPr>
      <w:rFonts w:ascii="Times New Roman" w:eastAsia="Times New Roman" w:hAnsi="Times New Roman"/>
      <w:sz w:val="24"/>
      <w:szCs w:val="24"/>
      <w:lang w:val="en-US"/>
    </w:rPr>
  </w:style>
  <w:style w:type="paragraph" w:customStyle="1" w:styleId="Style8">
    <w:name w:val="Style8"/>
    <w:basedOn w:val="a"/>
    <w:qFormat/>
    <w:rsid w:val="00554B93"/>
    <w:pPr>
      <w:widowControl w:val="0"/>
      <w:spacing w:line="259" w:lineRule="exact"/>
      <w:jc w:val="right"/>
    </w:pPr>
    <w:rPr>
      <w:rFonts w:ascii="Times New Roman" w:eastAsia="Times New Roman" w:hAnsi="Times New Roman"/>
      <w:sz w:val="24"/>
      <w:szCs w:val="24"/>
      <w:lang w:eastAsia="ru-RU"/>
    </w:rPr>
  </w:style>
  <w:style w:type="paragraph" w:customStyle="1" w:styleId="1c">
    <w:name w:val="Обычный1"/>
    <w:qFormat/>
    <w:rsid w:val="00DC6AC9"/>
    <w:pPr>
      <w:widowControl w:val="0"/>
      <w:snapToGrid w:val="0"/>
      <w:spacing w:line="300" w:lineRule="auto"/>
      <w:ind w:firstLine="680"/>
      <w:jc w:val="both"/>
    </w:pPr>
    <w:rPr>
      <w:rFonts w:ascii="Times New Roman" w:eastAsia="Times New Roman" w:hAnsi="Times New Roman"/>
      <w:sz w:val="24"/>
    </w:rPr>
  </w:style>
  <w:style w:type="paragraph" w:customStyle="1" w:styleId="ConsPlusTitle">
    <w:name w:val="ConsPlusTitle"/>
    <w:uiPriority w:val="99"/>
    <w:qFormat/>
    <w:rsid w:val="00DC6AC9"/>
    <w:pPr>
      <w:widowControl w:val="0"/>
    </w:pPr>
    <w:rPr>
      <w:rFonts w:ascii="Times New Roman" w:eastAsia="Times New Roman" w:hAnsi="Times New Roman"/>
      <w:b/>
      <w:bCs/>
      <w:sz w:val="28"/>
      <w:szCs w:val="28"/>
    </w:rPr>
  </w:style>
  <w:style w:type="paragraph" w:customStyle="1" w:styleId="14">
    <w:name w:val="Основной текст1"/>
    <w:basedOn w:val="a"/>
    <w:link w:val="af7"/>
    <w:qFormat/>
    <w:rsid w:val="00DC6AC9"/>
    <w:pPr>
      <w:shd w:val="clear" w:color="auto" w:fill="FFFFFF"/>
      <w:spacing w:line="379" w:lineRule="exact"/>
      <w:jc w:val="both"/>
    </w:pPr>
    <w:rPr>
      <w:sz w:val="25"/>
      <w:szCs w:val="25"/>
      <w:shd w:val="clear" w:color="auto" w:fill="FFFFFF"/>
      <w:lang w:val="x-none" w:eastAsia="x-none"/>
    </w:rPr>
  </w:style>
  <w:style w:type="paragraph" w:customStyle="1" w:styleId="Normal1">
    <w:name w:val="Normal1"/>
    <w:qFormat/>
    <w:rsid w:val="00DC6AC9"/>
    <w:pPr>
      <w:snapToGrid w:val="0"/>
    </w:pPr>
    <w:rPr>
      <w:rFonts w:ascii="Times New Roman" w:hAnsi="Times New Roman"/>
      <w:sz w:val="28"/>
    </w:rPr>
  </w:style>
  <w:style w:type="paragraph" w:customStyle="1" w:styleId="ConsTitle">
    <w:name w:val="ConsTitle"/>
    <w:qFormat/>
    <w:rsid w:val="00DC6AC9"/>
    <w:pPr>
      <w:widowControl w:val="0"/>
      <w:ind w:right="19772"/>
    </w:pPr>
    <w:rPr>
      <w:rFonts w:ascii="Arial" w:eastAsia="Times New Roman" w:hAnsi="Arial" w:cs="Arial"/>
      <w:b/>
      <w:bCs/>
      <w:sz w:val="24"/>
      <w:szCs w:val="24"/>
    </w:rPr>
  </w:style>
  <w:style w:type="paragraph" w:customStyle="1" w:styleId="msonormalcxspmiddle">
    <w:name w:val="msonormalcxspmiddle"/>
    <w:basedOn w:val="a"/>
    <w:qFormat/>
    <w:rsid w:val="00DC6AC9"/>
    <w:pPr>
      <w:spacing w:beforeAutospacing="1" w:afterAutospacing="1"/>
    </w:pPr>
    <w:rPr>
      <w:rFonts w:ascii="Times New Roman" w:eastAsia="Times New Roman" w:hAnsi="Times New Roman"/>
      <w:sz w:val="24"/>
      <w:szCs w:val="24"/>
      <w:lang w:eastAsia="ru-RU"/>
    </w:rPr>
  </w:style>
  <w:style w:type="paragraph" w:customStyle="1" w:styleId="112">
    <w:name w:val="Без интервала11"/>
    <w:qFormat/>
    <w:rsid w:val="00DC6AC9"/>
    <w:rPr>
      <w:rFonts w:eastAsia="Times New Roman"/>
      <w:sz w:val="22"/>
      <w:szCs w:val="22"/>
      <w:lang w:eastAsia="en-US"/>
    </w:rPr>
  </w:style>
  <w:style w:type="paragraph" w:customStyle="1" w:styleId="Style2">
    <w:name w:val="Style2"/>
    <w:basedOn w:val="a"/>
    <w:qFormat/>
    <w:rsid w:val="00DC6AC9"/>
    <w:pPr>
      <w:widowControl w:val="0"/>
      <w:jc w:val="both"/>
    </w:pPr>
    <w:rPr>
      <w:rFonts w:ascii="Times New Roman" w:eastAsia="Times New Roman" w:hAnsi="Times New Roman"/>
      <w:sz w:val="24"/>
      <w:szCs w:val="24"/>
      <w:lang w:eastAsia="ru-RU"/>
    </w:rPr>
  </w:style>
  <w:style w:type="paragraph" w:customStyle="1" w:styleId="Style1">
    <w:name w:val="Style1"/>
    <w:basedOn w:val="a"/>
    <w:qFormat/>
    <w:rsid w:val="00DC6AC9"/>
    <w:pPr>
      <w:widowControl w:val="0"/>
      <w:spacing w:line="324" w:lineRule="exact"/>
      <w:ind w:firstLine="706"/>
      <w:jc w:val="both"/>
    </w:pPr>
    <w:rPr>
      <w:rFonts w:ascii="Times New Roman" w:eastAsia="Times New Roman" w:hAnsi="Times New Roman"/>
      <w:sz w:val="24"/>
      <w:szCs w:val="24"/>
      <w:lang w:eastAsia="ru-RU"/>
    </w:rPr>
  </w:style>
  <w:style w:type="paragraph" w:customStyle="1" w:styleId="BodyText21">
    <w:name w:val="Body Text 21"/>
    <w:basedOn w:val="a"/>
    <w:qFormat/>
    <w:rsid w:val="003B40A8"/>
    <w:pPr>
      <w:ind w:firstLine="709"/>
      <w:jc w:val="both"/>
    </w:pPr>
    <w:rPr>
      <w:rFonts w:ascii="Times New Roman" w:hAnsi="Times New Roman"/>
      <w:sz w:val="28"/>
      <w:szCs w:val="20"/>
      <w:lang w:eastAsia="ru-RU"/>
    </w:rPr>
  </w:style>
  <w:style w:type="paragraph" w:styleId="affe">
    <w:name w:val="Block Text"/>
    <w:basedOn w:val="a"/>
    <w:qFormat/>
    <w:rsid w:val="00EB7AC4"/>
    <w:pPr>
      <w:shd w:val="clear" w:color="auto" w:fill="FFFFFF"/>
      <w:spacing w:line="340" w:lineRule="exact"/>
      <w:ind w:left="10" w:right="5" w:firstLine="720"/>
      <w:jc w:val="both"/>
    </w:pPr>
    <w:rPr>
      <w:rFonts w:ascii="Times New Roman" w:eastAsia="Times New Roman" w:hAnsi="Times New Roman"/>
      <w:color w:val="993300"/>
      <w:sz w:val="28"/>
      <w:szCs w:val="28"/>
      <w:lang w:eastAsia="ru-RU"/>
    </w:rPr>
  </w:style>
  <w:style w:type="paragraph" w:customStyle="1" w:styleId="Style4">
    <w:name w:val="Style4"/>
    <w:basedOn w:val="a"/>
    <w:qFormat/>
    <w:rsid w:val="00150469"/>
    <w:pPr>
      <w:widowControl w:val="0"/>
      <w:spacing w:line="434" w:lineRule="exact"/>
      <w:jc w:val="center"/>
    </w:pPr>
    <w:rPr>
      <w:rFonts w:ascii="Times New Roman" w:eastAsia="Times New Roman" w:hAnsi="Times New Roman"/>
      <w:sz w:val="24"/>
      <w:szCs w:val="24"/>
      <w:lang w:eastAsia="ru-RU"/>
    </w:rPr>
  </w:style>
  <w:style w:type="paragraph" w:customStyle="1" w:styleId="Style7">
    <w:name w:val="Style7"/>
    <w:basedOn w:val="a"/>
    <w:qFormat/>
    <w:rsid w:val="00150469"/>
    <w:pPr>
      <w:widowControl w:val="0"/>
    </w:pPr>
    <w:rPr>
      <w:rFonts w:ascii="Times New Roman" w:eastAsia="Times New Roman" w:hAnsi="Times New Roman"/>
      <w:sz w:val="24"/>
      <w:szCs w:val="24"/>
      <w:lang w:eastAsia="ru-RU"/>
    </w:rPr>
  </w:style>
  <w:style w:type="paragraph" w:customStyle="1" w:styleId="16">
    <w:name w:val="Заголовок №1"/>
    <w:basedOn w:val="a"/>
    <w:link w:val="15"/>
    <w:qFormat/>
    <w:rsid w:val="002371D2"/>
    <w:pPr>
      <w:shd w:val="clear" w:color="auto" w:fill="FFFFFF"/>
      <w:spacing w:line="365" w:lineRule="exact"/>
      <w:outlineLvl w:val="0"/>
    </w:pPr>
    <w:rPr>
      <w:rFonts w:ascii="Times New Roman" w:hAnsi="Times New Roman"/>
      <w:spacing w:val="8"/>
      <w:sz w:val="28"/>
      <w:szCs w:val="28"/>
      <w:lang w:eastAsia="ru-RU"/>
    </w:rPr>
  </w:style>
  <w:style w:type="paragraph" w:customStyle="1" w:styleId="28">
    <w:name w:val="Заголовок №2"/>
    <w:basedOn w:val="a"/>
    <w:link w:val="27"/>
    <w:qFormat/>
    <w:rsid w:val="002371D2"/>
    <w:pPr>
      <w:shd w:val="clear" w:color="auto" w:fill="FFFFFF"/>
      <w:spacing w:before="300" w:after="360" w:line="240" w:lineRule="atLeast"/>
      <w:ind w:hanging="1920"/>
      <w:outlineLvl w:val="1"/>
    </w:pPr>
    <w:rPr>
      <w:rFonts w:ascii="Times New Roman" w:hAnsi="Times New Roman"/>
      <w:spacing w:val="7"/>
      <w:sz w:val="25"/>
      <w:szCs w:val="25"/>
      <w:lang w:eastAsia="ru-RU"/>
    </w:rPr>
  </w:style>
  <w:style w:type="paragraph" w:customStyle="1" w:styleId="2a">
    <w:name w:val="Основной текст (2)"/>
    <w:basedOn w:val="a"/>
    <w:link w:val="29"/>
    <w:qFormat/>
    <w:rsid w:val="002371D2"/>
    <w:pPr>
      <w:shd w:val="clear" w:color="auto" w:fill="FFFFFF"/>
      <w:spacing w:after="480" w:line="326" w:lineRule="exact"/>
      <w:ind w:firstLine="680"/>
      <w:jc w:val="both"/>
    </w:pPr>
    <w:rPr>
      <w:rFonts w:ascii="Times New Roman" w:hAnsi="Times New Roman"/>
      <w:sz w:val="25"/>
      <w:szCs w:val="25"/>
      <w:lang w:eastAsia="ru-RU"/>
    </w:rPr>
  </w:style>
  <w:style w:type="paragraph" w:customStyle="1" w:styleId="35">
    <w:name w:val="Основной текст (3)"/>
    <w:basedOn w:val="a"/>
    <w:link w:val="34"/>
    <w:qFormat/>
    <w:rsid w:val="002371D2"/>
    <w:pPr>
      <w:shd w:val="clear" w:color="auto" w:fill="FFFFFF"/>
      <w:spacing w:before="240" w:after="420" w:line="240" w:lineRule="atLeast"/>
    </w:pPr>
    <w:rPr>
      <w:rFonts w:ascii="Times New Roman" w:hAnsi="Times New Roman"/>
      <w:spacing w:val="7"/>
      <w:sz w:val="25"/>
      <w:szCs w:val="25"/>
      <w:lang w:eastAsia="ru-RU"/>
    </w:rPr>
  </w:style>
  <w:style w:type="paragraph" w:customStyle="1" w:styleId="43">
    <w:name w:val="Основной текст (4)"/>
    <w:basedOn w:val="a"/>
    <w:link w:val="42"/>
    <w:qFormat/>
    <w:rsid w:val="002371D2"/>
    <w:pPr>
      <w:shd w:val="clear" w:color="auto" w:fill="FFFFFF"/>
      <w:spacing w:before="780" w:line="230" w:lineRule="exact"/>
      <w:ind w:firstLine="720"/>
      <w:jc w:val="both"/>
    </w:pPr>
    <w:rPr>
      <w:rFonts w:ascii="Times New Roman" w:hAnsi="Times New Roman"/>
      <w:spacing w:val="5"/>
      <w:sz w:val="15"/>
      <w:szCs w:val="15"/>
      <w:lang w:eastAsia="ru-RU"/>
    </w:rPr>
  </w:style>
  <w:style w:type="paragraph" w:customStyle="1" w:styleId="ConsPlusNonformat">
    <w:name w:val="ConsPlusNonformat"/>
    <w:qFormat/>
    <w:rsid w:val="00173DC8"/>
    <w:pPr>
      <w:widowControl w:val="0"/>
    </w:pPr>
    <w:rPr>
      <w:rFonts w:ascii="Courier New" w:eastAsia="Times New Roman" w:hAnsi="Courier New" w:cs="Courier New"/>
    </w:rPr>
  </w:style>
  <w:style w:type="paragraph" w:customStyle="1" w:styleId="Default">
    <w:name w:val="Default"/>
    <w:qFormat/>
    <w:rsid w:val="00D05E77"/>
    <w:rPr>
      <w:rFonts w:ascii="Times New Roman" w:eastAsia="Times New Roman" w:hAnsi="Times New Roman"/>
      <w:color w:val="000000"/>
      <w:sz w:val="24"/>
      <w:szCs w:val="24"/>
    </w:rPr>
  </w:style>
  <w:style w:type="paragraph" w:customStyle="1" w:styleId="PEStylePara1">
    <w:name w:val="PEStylePara1"/>
    <w:basedOn w:val="a"/>
    <w:next w:val="a"/>
    <w:uiPriority w:val="99"/>
    <w:qFormat/>
    <w:rsid w:val="00D05E77"/>
    <w:pPr>
      <w:jc w:val="both"/>
    </w:pPr>
    <w:rPr>
      <w:rFonts w:ascii="Courier New" w:eastAsia="MS Mincho" w:hAnsi="Courier New"/>
      <w:sz w:val="20"/>
      <w:szCs w:val="20"/>
      <w:lang w:eastAsia="ru-RU"/>
    </w:rPr>
  </w:style>
  <w:style w:type="paragraph" w:customStyle="1" w:styleId="ConsPlusCell">
    <w:name w:val="ConsPlusCell"/>
    <w:uiPriority w:val="99"/>
    <w:qFormat/>
    <w:rsid w:val="004E0DA5"/>
    <w:rPr>
      <w:rFonts w:ascii="Arial" w:hAnsi="Arial" w:cs="Arial"/>
      <w:lang w:eastAsia="en-US"/>
    </w:rPr>
  </w:style>
  <w:style w:type="paragraph" w:customStyle="1" w:styleId="indent">
    <w:name w:val="indent"/>
    <w:basedOn w:val="a"/>
    <w:qFormat/>
    <w:rsid w:val="00BC04AC"/>
    <w:pPr>
      <w:ind w:left="150" w:firstLine="450"/>
    </w:pPr>
    <w:rPr>
      <w:rFonts w:ascii="Times New Roman" w:eastAsia="Times New Roman" w:hAnsi="Times New Roman"/>
      <w:sz w:val="34"/>
      <w:szCs w:val="34"/>
      <w:lang w:eastAsia="ru-RU"/>
    </w:rPr>
  </w:style>
  <w:style w:type="paragraph" w:customStyle="1" w:styleId="afff">
    <w:name w:val="Таблицы (моноширинный)"/>
    <w:basedOn w:val="a"/>
    <w:next w:val="a"/>
    <w:qFormat/>
    <w:rsid w:val="00FE63A3"/>
    <w:pPr>
      <w:widowControl w:val="0"/>
      <w:jc w:val="both"/>
    </w:pPr>
    <w:rPr>
      <w:rFonts w:ascii="Courier New" w:eastAsia="Times New Roman" w:hAnsi="Courier New" w:cs="Courier New"/>
      <w:sz w:val="20"/>
      <w:szCs w:val="20"/>
      <w:lang w:eastAsia="ru-RU"/>
    </w:rPr>
  </w:style>
  <w:style w:type="paragraph" w:styleId="afff0">
    <w:name w:val="TOC Heading"/>
    <w:basedOn w:val="1"/>
    <w:next w:val="a"/>
    <w:uiPriority w:val="39"/>
    <w:unhideWhenUsed/>
    <w:qFormat/>
    <w:rsid w:val="00AA68C2"/>
    <w:pPr>
      <w:spacing w:before="240" w:line="259" w:lineRule="auto"/>
      <w:outlineLvl w:val="9"/>
    </w:pPr>
    <w:rPr>
      <w:rFonts w:asciiTheme="majorHAnsi" w:eastAsiaTheme="majorEastAsia" w:hAnsiTheme="majorHAnsi" w:cstheme="majorBidi"/>
      <w:b w:val="0"/>
      <w:bCs w:val="0"/>
      <w:color w:val="2E74B5" w:themeColor="accent1" w:themeShade="BF"/>
      <w:sz w:val="32"/>
      <w:szCs w:val="32"/>
      <w:lang w:eastAsia="ru-RU"/>
    </w:rPr>
  </w:style>
  <w:style w:type="paragraph" w:styleId="1d">
    <w:name w:val="toc 1"/>
    <w:basedOn w:val="a"/>
    <w:next w:val="a"/>
    <w:autoRedefine/>
    <w:uiPriority w:val="39"/>
    <w:unhideWhenUsed/>
    <w:rsid w:val="00AA68C2"/>
    <w:pPr>
      <w:spacing w:after="100"/>
    </w:pPr>
  </w:style>
  <w:style w:type="paragraph" w:styleId="37">
    <w:name w:val="toc 3"/>
    <w:basedOn w:val="a"/>
    <w:next w:val="a"/>
    <w:autoRedefine/>
    <w:uiPriority w:val="39"/>
    <w:unhideWhenUsed/>
    <w:rsid w:val="00AA68C2"/>
    <w:pPr>
      <w:spacing w:after="100"/>
      <w:ind w:left="440"/>
    </w:pPr>
  </w:style>
  <w:style w:type="paragraph" w:customStyle="1" w:styleId="00">
    <w:name w:val="Стиль0"/>
    <w:basedOn w:val="a"/>
    <w:link w:val="0"/>
    <w:qFormat/>
    <w:rsid w:val="00960FAE"/>
    <w:pPr>
      <w:ind w:firstLine="708"/>
      <w:jc w:val="both"/>
    </w:pPr>
    <w:rPr>
      <w:rFonts w:ascii="Times New Roman" w:hAnsi="Times New Roman"/>
      <w:sz w:val="28"/>
      <w:szCs w:val="28"/>
      <w:lang w:val="x-none" w:eastAsia="ru-RU"/>
    </w:rPr>
  </w:style>
  <w:style w:type="paragraph" w:customStyle="1" w:styleId="afff1">
    <w:name w:val="Íîðìàëüíûé"/>
    <w:qFormat/>
    <w:rsid w:val="00960FAE"/>
    <w:pPr>
      <w:widowControl w:val="0"/>
    </w:pPr>
    <w:rPr>
      <w:rFonts w:ascii="Times New Roman" w:eastAsia="Times New Roman" w:hAnsi="Times New Roman"/>
      <w:color w:val="000000"/>
      <w:sz w:val="24"/>
      <w:szCs w:val="24"/>
      <w:lang w:eastAsia="ar-SA"/>
    </w:rPr>
  </w:style>
  <w:style w:type="paragraph" w:customStyle="1" w:styleId="afff2">
    <w:name w:val="Содержимое врезки"/>
    <w:basedOn w:val="a"/>
    <w:qFormat/>
  </w:style>
  <w:style w:type="paragraph" w:customStyle="1" w:styleId="afff3">
    <w:name w:val="Содержимое таблицы"/>
    <w:basedOn w:val="a"/>
    <w:qFormat/>
    <w:pPr>
      <w:widowControl w:val="0"/>
      <w:suppressLineNumbers/>
    </w:pPr>
  </w:style>
  <w:style w:type="paragraph" w:customStyle="1" w:styleId="afff4">
    <w:name w:val="Заголовок таблицы"/>
    <w:basedOn w:val="afff3"/>
    <w:qFormat/>
    <w:pPr>
      <w:jc w:val="center"/>
    </w:pPr>
    <w:rPr>
      <w:b/>
      <w:bCs/>
    </w:rPr>
  </w:style>
  <w:style w:type="numbering" w:customStyle="1" w:styleId="1e">
    <w:name w:val="Нет списка1"/>
    <w:uiPriority w:val="99"/>
    <w:semiHidden/>
    <w:unhideWhenUsed/>
    <w:qFormat/>
    <w:rsid w:val="00D05E77"/>
  </w:style>
  <w:style w:type="numbering" w:customStyle="1" w:styleId="2f0">
    <w:name w:val="Нет списка2"/>
    <w:uiPriority w:val="99"/>
    <w:semiHidden/>
    <w:unhideWhenUsed/>
    <w:qFormat/>
    <w:rsid w:val="00FE63A3"/>
  </w:style>
  <w:style w:type="table" w:styleId="afff5">
    <w:name w:val="Table Grid"/>
    <w:basedOn w:val="a1"/>
    <w:uiPriority w:val="59"/>
    <w:rsid w:val="00574AD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Сетка таблицы1"/>
    <w:basedOn w:val="a1"/>
    <w:uiPriority w:val="99"/>
    <w:rsid w:val="00D05E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Сетка таблицы2"/>
    <w:basedOn w:val="a1"/>
    <w:uiPriority w:val="59"/>
    <w:rsid w:val="00FE63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Сетка таблицы3"/>
    <w:basedOn w:val="a1"/>
    <w:uiPriority w:val="59"/>
    <w:rsid w:val="00550104"/>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hart" Target="charts/chart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ru-RU"/>
  <c:roundedCorners val="0"/>
  <c:style val="2"/>
  <c:chart>
    <c:autoTitleDeleted val="1"/>
    <c:plotArea>
      <c:layout>
        <c:manualLayout>
          <c:layoutTarget val="inner"/>
          <c:xMode val="edge"/>
          <c:yMode val="edge"/>
          <c:x val="6.3750000000000001E-2"/>
          <c:y val="5.8777777777777797E-2"/>
          <c:w val="0.92931249999999999"/>
          <c:h val="0.70588888888888901"/>
        </c:manualLayout>
      </c:layout>
      <c:barChart>
        <c:barDir val="col"/>
        <c:grouping val="clustered"/>
        <c:varyColors val="0"/>
        <c:ser>
          <c:idx val="0"/>
          <c:order val="0"/>
          <c:tx>
            <c:strRef>
              <c:f>label 0</c:f>
              <c:strCache>
                <c:ptCount val="1"/>
                <c:pt idx="0">
                  <c:v>2018</c:v>
                </c:pt>
              </c:strCache>
            </c:strRef>
          </c:tx>
          <c:spPr>
            <a:solidFill>
              <a:srgbClr val="5B9BD5">
                <a:alpha val="70000"/>
              </a:srgbClr>
            </a:solidFill>
            <a:ln w="0">
              <a:noFill/>
            </a:ln>
          </c:spPr>
          <c:invertIfNegative val="0"/>
          <c:dPt>
            <c:idx val="0"/>
            <c:invertIfNegative val="0"/>
            <c:bubble3D val="0"/>
            <c:extLst>
              <c:ext xmlns:c16="http://schemas.microsoft.com/office/drawing/2014/chart" uri="{C3380CC4-5D6E-409C-BE32-E72D297353CC}">
                <c16:uniqueId val="{00000001-E25B-46E2-9D54-33E909039B90}"/>
              </c:ext>
            </c:extLst>
          </c:dPt>
          <c:dLbls>
            <c:dLbl>
              <c:idx val="0"/>
              <c:numFmt formatCode="0.00" sourceLinked="0"/>
              <c:spPr/>
              <c:txPr>
                <a:bodyPr wrap="square"/>
                <a:lstStyle/>
                <a:p>
                  <a:pPr>
                    <a:defRPr sz="1200" b="0" strike="noStrike" spc="-1">
                      <a:solidFill>
                        <a:srgbClr val="404040"/>
                      </a:solidFill>
                      <a:latin typeface="Bahnschrift Condensed"/>
                    </a:defRPr>
                  </a:pPr>
                  <a:endParaRPr lang="ru-RU"/>
                </a:p>
              </c:txPr>
              <c:dLblPos val="outEnd"/>
              <c:showLegendKey val="0"/>
              <c:showVal val="1"/>
              <c:showCatName val="0"/>
              <c:showSerName val="0"/>
              <c:showPercent val="0"/>
              <c:showBubbleSize val="1"/>
              <c:extLst>
                <c:ext xmlns:c16="http://schemas.microsoft.com/office/drawing/2014/chart" uri="{C3380CC4-5D6E-409C-BE32-E72D297353CC}">
                  <c16:uniqueId val="{00000001-E25B-46E2-9D54-33E909039B90}"/>
                </c:ext>
              </c:extLst>
            </c:dLbl>
            <c:numFmt formatCode="0.00" sourceLinked="0"/>
            <c:spPr>
              <a:noFill/>
              <a:ln>
                <a:noFill/>
              </a:ln>
              <a:effectLst/>
            </c:spPr>
            <c:txPr>
              <a:bodyPr wrap="square"/>
              <a:lstStyle/>
              <a:p>
                <a:pPr>
                  <a:defRPr sz="1200" b="0" strike="noStrike" spc="-1">
                    <a:solidFill>
                      <a:srgbClr val="404040"/>
                    </a:solidFill>
                    <a:latin typeface="Bahnschrift Condensed"/>
                  </a:defRPr>
                </a:pPr>
                <a:endParaRPr lang="ru-RU"/>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1"/>
                <c:pt idx="0">
                  <c:v>Индекс производства продукции сельского хозяйства в хозяйствах всех категорий, % в сопоставимых ценах к уровню прошлого года</c:v>
                </c:pt>
              </c:strCache>
            </c:strRef>
          </c:cat>
          <c:val>
            <c:numRef>
              <c:f>0</c:f>
              <c:numCache>
                <c:formatCode>General</c:formatCode>
                <c:ptCount val="1"/>
                <c:pt idx="0">
                  <c:v>100.5</c:v>
                </c:pt>
              </c:numCache>
            </c:numRef>
          </c:val>
          <c:extLst>
            <c:ext xmlns:c16="http://schemas.microsoft.com/office/drawing/2014/chart" uri="{C3380CC4-5D6E-409C-BE32-E72D297353CC}">
              <c16:uniqueId val="{00000002-E25B-46E2-9D54-33E909039B90}"/>
            </c:ext>
          </c:extLst>
        </c:ser>
        <c:ser>
          <c:idx val="1"/>
          <c:order val="1"/>
          <c:tx>
            <c:strRef>
              <c:f>label 1</c:f>
              <c:strCache>
                <c:ptCount val="1"/>
                <c:pt idx="0">
                  <c:v>2019</c:v>
                </c:pt>
              </c:strCache>
            </c:strRef>
          </c:tx>
          <c:spPr>
            <a:solidFill>
              <a:srgbClr val="ED7D31">
                <a:alpha val="70000"/>
              </a:srgbClr>
            </a:solidFill>
            <a:ln w="0">
              <a:noFill/>
            </a:ln>
          </c:spPr>
          <c:invertIfNegative val="0"/>
          <c:dPt>
            <c:idx val="0"/>
            <c:invertIfNegative val="0"/>
            <c:bubble3D val="0"/>
            <c:extLst>
              <c:ext xmlns:c16="http://schemas.microsoft.com/office/drawing/2014/chart" uri="{C3380CC4-5D6E-409C-BE32-E72D297353CC}">
                <c16:uniqueId val="{00000004-E25B-46E2-9D54-33E909039B90}"/>
              </c:ext>
            </c:extLst>
          </c:dPt>
          <c:dLbls>
            <c:dLbl>
              <c:idx val="0"/>
              <c:numFmt formatCode="0.00" sourceLinked="0"/>
              <c:spPr/>
              <c:txPr>
                <a:bodyPr wrap="square"/>
                <a:lstStyle/>
                <a:p>
                  <a:pPr>
                    <a:defRPr sz="1200" b="0" strike="noStrike" spc="-1">
                      <a:solidFill>
                        <a:srgbClr val="404040"/>
                      </a:solidFill>
                      <a:latin typeface="Bahnschrift Condensed"/>
                    </a:defRPr>
                  </a:pPr>
                  <a:endParaRPr lang="ru-RU"/>
                </a:p>
              </c:txPr>
              <c:dLblPos val="outEnd"/>
              <c:showLegendKey val="0"/>
              <c:showVal val="1"/>
              <c:showCatName val="0"/>
              <c:showSerName val="0"/>
              <c:showPercent val="0"/>
              <c:showBubbleSize val="1"/>
              <c:extLst>
                <c:ext xmlns:c16="http://schemas.microsoft.com/office/drawing/2014/chart" uri="{C3380CC4-5D6E-409C-BE32-E72D297353CC}">
                  <c16:uniqueId val="{00000004-E25B-46E2-9D54-33E909039B90}"/>
                </c:ext>
              </c:extLst>
            </c:dLbl>
            <c:numFmt formatCode="0.00" sourceLinked="0"/>
            <c:spPr>
              <a:noFill/>
              <a:ln>
                <a:noFill/>
              </a:ln>
              <a:effectLst/>
            </c:spPr>
            <c:txPr>
              <a:bodyPr wrap="square"/>
              <a:lstStyle/>
              <a:p>
                <a:pPr>
                  <a:defRPr sz="1200" b="0" strike="noStrike" spc="-1">
                    <a:solidFill>
                      <a:srgbClr val="404040"/>
                    </a:solidFill>
                    <a:latin typeface="Bahnschrift Condensed"/>
                  </a:defRPr>
                </a:pPr>
                <a:endParaRPr lang="ru-RU"/>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1"/>
                <c:pt idx="0">
                  <c:v>Индекс производства продукции сельского хозяйства в хозяйствах всех категорий, % в сопоставимых ценах к уровню прошлого года</c:v>
                </c:pt>
              </c:strCache>
            </c:strRef>
          </c:cat>
          <c:val>
            <c:numRef>
              <c:f>1</c:f>
              <c:numCache>
                <c:formatCode>General</c:formatCode>
                <c:ptCount val="1"/>
                <c:pt idx="0">
                  <c:v>118.1</c:v>
                </c:pt>
              </c:numCache>
            </c:numRef>
          </c:val>
          <c:extLst>
            <c:ext xmlns:c16="http://schemas.microsoft.com/office/drawing/2014/chart" uri="{C3380CC4-5D6E-409C-BE32-E72D297353CC}">
              <c16:uniqueId val="{00000005-E25B-46E2-9D54-33E909039B90}"/>
            </c:ext>
          </c:extLst>
        </c:ser>
        <c:ser>
          <c:idx val="2"/>
          <c:order val="2"/>
          <c:tx>
            <c:strRef>
              <c:f>label 2</c:f>
              <c:strCache>
                <c:ptCount val="1"/>
                <c:pt idx="0">
                  <c:v>2020</c:v>
                </c:pt>
              </c:strCache>
            </c:strRef>
          </c:tx>
          <c:spPr>
            <a:solidFill>
              <a:srgbClr val="A5A5A5">
                <a:alpha val="70000"/>
              </a:srgbClr>
            </a:solidFill>
            <a:ln w="0">
              <a:noFill/>
            </a:ln>
          </c:spPr>
          <c:invertIfNegative val="0"/>
          <c:dPt>
            <c:idx val="0"/>
            <c:invertIfNegative val="0"/>
            <c:bubble3D val="0"/>
            <c:extLst>
              <c:ext xmlns:c16="http://schemas.microsoft.com/office/drawing/2014/chart" uri="{C3380CC4-5D6E-409C-BE32-E72D297353CC}">
                <c16:uniqueId val="{00000007-E25B-46E2-9D54-33E909039B90}"/>
              </c:ext>
            </c:extLst>
          </c:dPt>
          <c:dLbls>
            <c:dLbl>
              <c:idx val="0"/>
              <c:numFmt formatCode="0.00" sourceLinked="0"/>
              <c:spPr/>
              <c:txPr>
                <a:bodyPr wrap="square"/>
                <a:lstStyle/>
                <a:p>
                  <a:pPr>
                    <a:defRPr sz="1200" b="0" strike="noStrike" spc="-1">
                      <a:solidFill>
                        <a:srgbClr val="404040"/>
                      </a:solidFill>
                      <a:latin typeface="Bahnschrift Condensed"/>
                    </a:defRPr>
                  </a:pPr>
                  <a:endParaRPr lang="ru-RU"/>
                </a:p>
              </c:txPr>
              <c:dLblPos val="outEnd"/>
              <c:showLegendKey val="0"/>
              <c:showVal val="1"/>
              <c:showCatName val="0"/>
              <c:showSerName val="0"/>
              <c:showPercent val="0"/>
              <c:showBubbleSize val="1"/>
              <c:extLst>
                <c:ext xmlns:c16="http://schemas.microsoft.com/office/drawing/2014/chart" uri="{C3380CC4-5D6E-409C-BE32-E72D297353CC}">
                  <c16:uniqueId val="{00000007-E25B-46E2-9D54-33E909039B90}"/>
                </c:ext>
              </c:extLst>
            </c:dLbl>
            <c:numFmt formatCode="0.00" sourceLinked="0"/>
            <c:spPr>
              <a:noFill/>
              <a:ln>
                <a:noFill/>
              </a:ln>
              <a:effectLst/>
            </c:spPr>
            <c:txPr>
              <a:bodyPr wrap="square"/>
              <a:lstStyle/>
              <a:p>
                <a:pPr>
                  <a:defRPr sz="1200" b="0" strike="noStrike" spc="-1">
                    <a:solidFill>
                      <a:srgbClr val="404040"/>
                    </a:solidFill>
                    <a:latin typeface="Bahnschrift Condensed"/>
                  </a:defRPr>
                </a:pPr>
                <a:endParaRPr lang="ru-RU"/>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1"/>
                <c:pt idx="0">
                  <c:v>Индекс производства продукции сельского хозяйства в хозяйствах всех категорий, % в сопоставимых ценах к уровню прошлого года</c:v>
                </c:pt>
              </c:strCache>
            </c:strRef>
          </c:cat>
          <c:val>
            <c:numRef>
              <c:f>2</c:f>
              <c:numCache>
                <c:formatCode>General</c:formatCode>
                <c:ptCount val="1"/>
                <c:pt idx="0">
                  <c:v>103.2</c:v>
                </c:pt>
              </c:numCache>
            </c:numRef>
          </c:val>
          <c:extLst>
            <c:ext xmlns:c16="http://schemas.microsoft.com/office/drawing/2014/chart" uri="{C3380CC4-5D6E-409C-BE32-E72D297353CC}">
              <c16:uniqueId val="{00000008-E25B-46E2-9D54-33E909039B90}"/>
            </c:ext>
          </c:extLst>
        </c:ser>
        <c:ser>
          <c:idx val="3"/>
          <c:order val="3"/>
          <c:tx>
            <c:strRef>
              <c:f>label 3</c:f>
              <c:strCache>
                <c:ptCount val="1"/>
                <c:pt idx="0">
                  <c:v>2021</c:v>
                </c:pt>
              </c:strCache>
            </c:strRef>
          </c:tx>
          <c:spPr>
            <a:solidFill>
              <a:srgbClr val="FFC000">
                <a:alpha val="70000"/>
              </a:srgbClr>
            </a:solidFill>
            <a:ln w="0">
              <a:noFill/>
            </a:ln>
          </c:spPr>
          <c:invertIfNegative val="0"/>
          <c:dPt>
            <c:idx val="0"/>
            <c:invertIfNegative val="0"/>
            <c:bubble3D val="0"/>
            <c:extLst>
              <c:ext xmlns:c16="http://schemas.microsoft.com/office/drawing/2014/chart" uri="{C3380CC4-5D6E-409C-BE32-E72D297353CC}">
                <c16:uniqueId val="{0000000A-E25B-46E2-9D54-33E909039B90}"/>
              </c:ext>
            </c:extLst>
          </c:dPt>
          <c:dLbls>
            <c:dLbl>
              <c:idx val="0"/>
              <c:numFmt formatCode="0.00" sourceLinked="0"/>
              <c:spPr/>
              <c:txPr>
                <a:bodyPr wrap="square"/>
                <a:lstStyle/>
                <a:p>
                  <a:pPr>
                    <a:defRPr sz="1400" b="0" strike="noStrike" spc="-1">
                      <a:solidFill>
                        <a:srgbClr val="404040"/>
                      </a:solidFill>
                      <a:latin typeface="Bahnschrift Condensed"/>
                    </a:defRPr>
                  </a:pPr>
                  <a:endParaRPr lang="ru-RU"/>
                </a:p>
              </c:txPr>
              <c:dLblPos val="outEnd"/>
              <c:showLegendKey val="0"/>
              <c:showVal val="1"/>
              <c:showCatName val="0"/>
              <c:showSerName val="0"/>
              <c:showPercent val="0"/>
              <c:showBubbleSize val="1"/>
              <c:extLst>
                <c:ext xmlns:c16="http://schemas.microsoft.com/office/drawing/2014/chart" uri="{C3380CC4-5D6E-409C-BE32-E72D297353CC}">
                  <c16:uniqueId val="{0000000A-E25B-46E2-9D54-33E909039B90}"/>
                </c:ext>
              </c:extLst>
            </c:dLbl>
            <c:numFmt formatCode="0.00" sourceLinked="0"/>
            <c:spPr>
              <a:noFill/>
              <a:ln>
                <a:noFill/>
              </a:ln>
              <a:effectLst/>
            </c:spPr>
            <c:txPr>
              <a:bodyPr wrap="square"/>
              <a:lstStyle/>
              <a:p>
                <a:pPr>
                  <a:defRPr sz="1400" b="0" strike="noStrike" spc="-1">
                    <a:solidFill>
                      <a:srgbClr val="404040"/>
                    </a:solidFill>
                    <a:latin typeface="Bahnschrift Condensed"/>
                  </a:defRPr>
                </a:pPr>
                <a:endParaRPr lang="ru-RU"/>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1"/>
                <c:pt idx="0">
                  <c:v>Индекс производства продукции сельского хозяйства в хозяйствах всех категорий, % в сопоставимых ценах к уровню прошлого года</c:v>
                </c:pt>
              </c:strCache>
            </c:strRef>
          </c:cat>
          <c:val>
            <c:numRef>
              <c:f>3</c:f>
              <c:numCache>
                <c:formatCode>General</c:formatCode>
                <c:ptCount val="1"/>
                <c:pt idx="0">
                  <c:v>104.1</c:v>
                </c:pt>
              </c:numCache>
            </c:numRef>
          </c:val>
          <c:extLst>
            <c:ext xmlns:c16="http://schemas.microsoft.com/office/drawing/2014/chart" uri="{C3380CC4-5D6E-409C-BE32-E72D297353CC}">
              <c16:uniqueId val="{0000000B-E25B-46E2-9D54-33E909039B90}"/>
            </c:ext>
          </c:extLst>
        </c:ser>
        <c:ser>
          <c:idx val="4"/>
          <c:order val="4"/>
          <c:tx>
            <c:strRef>
              <c:f>label 4</c:f>
              <c:strCache>
                <c:ptCount val="1"/>
                <c:pt idx="0">
                  <c:v>2022</c:v>
                </c:pt>
              </c:strCache>
            </c:strRef>
          </c:tx>
          <c:spPr>
            <a:solidFill>
              <a:srgbClr val="4472C4">
                <a:alpha val="70000"/>
              </a:srgbClr>
            </a:solidFill>
            <a:ln w="0">
              <a:noFill/>
            </a:ln>
          </c:spPr>
          <c:invertIfNegative val="0"/>
          <c:dPt>
            <c:idx val="0"/>
            <c:invertIfNegative val="0"/>
            <c:bubble3D val="0"/>
            <c:extLst>
              <c:ext xmlns:c16="http://schemas.microsoft.com/office/drawing/2014/chart" uri="{C3380CC4-5D6E-409C-BE32-E72D297353CC}">
                <c16:uniqueId val="{0000000D-E25B-46E2-9D54-33E909039B90}"/>
              </c:ext>
            </c:extLst>
          </c:dPt>
          <c:dLbls>
            <c:dLbl>
              <c:idx val="0"/>
              <c:numFmt formatCode="0.00" sourceLinked="0"/>
              <c:spPr/>
              <c:txPr>
                <a:bodyPr wrap="square"/>
                <a:lstStyle/>
                <a:p>
                  <a:pPr>
                    <a:defRPr sz="1600" b="0" strike="noStrike" spc="-1">
                      <a:solidFill>
                        <a:srgbClr val="C00000"/>
                      </a:solidFill>
                      <a:latin typeface="Bahnschrift Condensed"/>
                    </a:defRPr>
                  </a:pPr>
                  <a:endParaRPr lang="ru-RU"/>
                </a:p>
              </c:txPr>
              <c:dLblPos val="outEnd"/>
              <c:showLegendKey val="0"/>
              <c:showVal val="1"/>
              <c:showCatName val="0"/>
              <c:showSerName val="0"/>
              <c:showPercent val="0"/>
              <c:showBubbleSize val="1"/>
              <c:extLst>
                <c:ext xmlns:c16="http://schemas.microsoft.com/office/drawing/2014/chart" uri="{C3380CC4-5D6E-409C-BE32-E72D297353CC}">
                  <c16:uniqueId val="{0000000D-E25B-46E2-9D54-33E909039B90}"/>
                </c:ext>
              </c:extLst>
            </c:dLbl>
            <c:numFmt formatCode="0.00" sourceLinked="0"/>
            <c:spPr>
              <a:noFill/>
              <a:ln>
                <a:noFill/>
              </a:ln>
              <a:effectLst/>
            </c:spPr>
            <c:txPr>
              <a:bodyPr wrap="square"/>
              <a:lstStyle/>
              <a:p>
                <a:pPr>
                  <a:defRPr sz="1600" b="0" strike="noStrike" spc="-1">
                    <a:solidFill>
                      <a:srgbClr val="C00000"/>
                    </a:solidFill>
                    <a:latin typeface="Bahnschrift Condensed"/>
                  </a:defRPr>
                </a:pPr>
                <a:endParaRPr lang="ru-RU"/>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1"/>
                <c:pt idx="0">
                  <c:v>Индекс производства продукции сельского хозяйства в хозяйствах всех категорий, % в сопоставимых ценах к уровню прошлого года</c:v>
                </c:pt>
              </c:strCache>
            </c:strRef>
          </c:cat>
          <c:val>
            <c:numRef>
              <c:f>4</c:f>
              <c:numCache>
                <c:formatCode>General</c:formatCode>
                <c:ptCount val="1"/>
                <c:pt idx="0">
                  <c:v>100.9</c:v>
                </c:pt>
              </c:numCache>
            </c:numRef>
          </c:val>
          <c:extLst>
            <c:ext xmlns:c16="http://schemas.microsoft.com/office/drawing/2014/chart" uri="{C3380CC4-5D6E-409C-BE32-E72D297353CC}">
              <c16:uniqueId val="{0000000E-E25B-46E2-9D54-33E909039B90}"/>
            </c:ext>
          </c:extLst>
        </c:ser>
        <c:dLbls>
          <c:showLegendKey val="0"/>
          <c:showVal val="0"/>
          <c:showCatName val="0"/>
          <c:showSerName val="0"/>
          <c:showPercent val="0"/>
          <c:showBubbleSize val="0"/>
        </c:dLbls>
        <c:gapWidth val="80"/>
        <c:overlap val="25"/>
        <c:axId val="49393642"/>
        <c:axId val="58967378"/>
      </c:barChart>
      <c:catAx>
        <c:axId val="49393642"/>
        <c:scaling>
          <c:orientation val="minMax"/>
        </c:scaling>
        <c:delete val="0"/>
        <c:axPos val="b"/>
        <c:numFmt formatCode="General" sourceLinked="0"/>
        <c:majorTickMark val="none"/>
        <c:minorTickMark val="none"/>
        <c:tickLblPos val="nextTo"/>
        <c:spPr>
          <a:ln w="15840">
            <a:solidFill>
              <a:srgbClr val="BFBFBF"/>
            </a:solidFill>
            <a:round/>
          </a:ln>
        </c:spPr>
        <c:txPr>
          <a:bodyPr/>
          <a:lstStyle/>
          <a:p>
            <a:pPr>
              <a:defRPr sz="1200" b="0" strike="noStrike" spc="7">
                <a:solidFill>
                  <a:srgbClr val="595959"/>
                </a:solidFill>
                <a:latin typeface="Bahnschrift Light Condensed"/>
              </a:defRPr>
            </a:pPr>
            <a:endParaRPr lang="ru-RU"/>
          </a:p>
        </c:txPr>
        <c:crossAx val="58967378"/>
        <c:crosses val="autoZero"/>
        <c:auto val="1"/>
        <c:lblAlgn val="ctr"/>
        <c:lblOffset val="100"/>
        <c:noMultiLvlLbl val="0"/>
      </c:catAx>
      <c:valAx>
        <c:axId val="58967378"/>
        <c:scaling>
          <c:orientation val="minMax"/>
        </c:scaling>
        <c:delete val="0"/>
        <c:axPos val="l"/>
        <c:majorGridlines>
          <c:spPr>
            <a:ln w="9360">
              <a:solidFill>
                <a:srgbClr val="F2F2F2"/>
              </a:solidFill>
              <a:round/>
            </a:ln>
          </c:spPr>
        </c:majorGridlines>
        <c:numFmt formatCode="0.00" sourceLinked="0"/>
        <c:majorTickMark val="none"/>
        <c:minorTickMark val="none"/>
        <c:tickLblPos val="nextTo"/>
        <c:spPr>
          <a:ln w="6480">
            <a:noFill/>
          </a:ln>
        </c:spPr>
        <c:txPr>
          <a:bodyPr/>
          <a:lstStyle/>
          <a:p>
            <a:pPr>
              <a:defRPr sz="1200" b="0" strike="noStrike" spc="7">
                <a:solidFill>
                  <a:srgbClr val="595959"/>
                </a:solidFill>
                <a:latin typeface="Bahnschrift Condensed"/>
              </a:defRPr>
            </a:pPr>
            <a:endParaRPr lang="ru-RU"/>
          </a:p>
        </c:txPr>
        <c:crossAx val="49393642"/>
        <c:crosses val="autoZero"/>
        <c:crossBetween val="between"/>
      </c:valAx>
      <c:spPr>
        <a:noFill/>
        <a:ln w="0">
          <a:noFill/>
        </a:ln>
      </c:spPr>
    </c:plotArea>
    <c:legend>
      <c:legendPos val="b"/>
      <c:overlay val="0"/>
      <c:spPr>
        <a:noFill/>
        <a:ln w="0">
          <a:noFill/>
        </a:ln>
      </c:spPr>
      <c:txPr>
        <a:bodyPr/>
        <a:lstStyle/>
        <a:p>
          <a:pPr>
            <a:defRPr sz="1200" b="0" strike="noStrike" spc="-1">
              <a:solidFill>
                <a:srgbClr val="595959"/>
              </a:solidFill>
              <a:latin typeface="Bahnschrift Condensed"/>
            </a:defRPr>
          </a:pPr>
          <a:endParaRPr lang="ru-RU"/>
        </a:p>
      </c:txPr>
    </c:legend>
    <c:plotVisOnly val="1"/>
    <c:dispBlanksAs val="gap"/>
    <c:showDLblsOverMax val="1"/>
  </c:chart>
  <c:spPr>
    <a:solidFill>
      <a:srgbClr val="FFFFFF"/>
    </a:solidFill>
    <a:ln w="9360">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ru-RU"/>
  <c:roundedCorners val="0"/>
  <c:style val="2"/>
  <c:chart>
    <c:autoTitleDeleted val="1"/>
    <c:plotArea>
      <c:layout>
        <c:manualLayout>
          <c:layoutTarget val="inner"/>
          <c:xMode val="edge"/>
          <c:yMode val="edge"/>
          <c:x val="0.18925"/>
          <c:y val="0.118777777777778"/>
          <c:w val="0.78137500000000004"/>
          <c:h val="0.78133333333333299"/>
        </c:manualLayout>
      </c:layout>
      <c:barChart>
        <c:barDir val="bar"/>
        <c:grouping val="clustered"/>
        <c:varyColors val="0"/>
        <c:ser>
          <c:idx val="0"/>
          <c:order val="0"/>
          <c:tx>
            <c:strRef>
              <c:f>label 0</c:f>
              <c:strCache>
                <c:ptCount val="1"/>
                <c:pt idx="0">
                  <c:v>2018 год</c:v>
                </c:pt>
              </c:strCache>
            </c:strRef>
          </c:tx>
          <c:spPr>
            <a:solidFill>
              <a:srgbClr val="5B9BD5"/>
            </a:solidFill>
            <a:ln w="0">
              <a:noFill/>
            </a:ln>
          </c:spPr>
          <c:invertIfNegative val="0"/>
          <c:dLbls>
            <c:numFmt formatCode="General" sourceLinked="0"/>
            <c:spPr>
              <a:noFill/>
              <a:ln>
                <a:noFill/>
              </a:ln>
              <a:effectLst/>
            </c:spPr>
            <c:txPr>
              <a:bodyPr wrap="square"/>
              <a:lstStyle/>
              <a:p>
                <a:pPr>
                  <a:defRPr sz="1200" b="0" strike="noStrike" spc="-1">
                    <a:solidFill>
                      <a:srgbClr val="404040"/>
                    </a:solidFill>
                    <a:latin typeface="Bahnschrift Condensed"/>
                  </a:defRPr>
                </a:pPr>
                <a:endParaRPr lang="ru-RU"/>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зерно, 
тыс. тонн</c:v>
                </c:pt>
                <c:pt idx="1">
                  <c:v>овощи, 
тыс. тонн</c:v>
                </c:pt>
                <c:pt idx="2">
                  <c:v>картофель, 
тыс. тонн</c:v>
                </c:pt>
              </c:strCache>
            </c:strRef>
          </c:cat>
          <c:val>
            <c:numRef>
              <c:f>0</c:f>
              <c:numCache>
                <c:formatCode>General</c:formatCode>
                <c:ptCount val="3"/>
                <c:pt idx="0">
                  <c:v>0.128</c:v>
                </c:pt>
                <c:pt idx="1">
                  <c:v>11.13</c:v>
                </c:pt>
                <c:pt idx="2">
                  <c:v>35.58</c:v>
                </c:pt>
              </c:numCache>
            </c:numRef>
          </c:val>
          <c:extLst>
            <c:ext xmlns:c16="http://schemas.microsoft.com/office/drawing/2014/chart" uri="{C3380CC4-5D6E-409C-BE32-E72D297353CC}">
              <c16:uniqueId val="{00000000-C431-4D68-BC7D-47DFDDAFAE0D}"/>
            </c:ext>
          </c:extLst>
        </c:ser>
        <c:ser>
          <c:idx val="1"/>
          <c:order val="1"/>
          <c:tx>
            <c:strRef>
              <c:f>label 1</c:f>
              <c:strCache>
                <c:ptCount val="1"/>
                <c:pt idx="0">
                  <c:v>2019 год</c:v>
                </c:pt>
              </c:strCache>
            </c:strRef>
          </c:tx>
          <c:spPr>
            <a:solidFill>
              <a:srgbClr val="ED7D31"/>
            </a:solidFill>
            <a:ln w="0">
              <a:noFill/>
            </a:ln>
          </c:spPr>
          <c:invertIfNegative val="0"/>
          <c:dLbls>
            <c:numFmt formatCode="General" sourceLinked="0"/>
            <c:spPr>
              <a:noFill/>
              <a:ln>
                <a:noFill/>
              </a:ln>
              <a:effectLst/>
            </c:spPr>
            <c:txPr>
              <a:bodyPr wrap="square"/>
              <a:lstStyle/>
              <a:p>
                <a:pPr>
                  <a:defRPr sz="1200" b="0" strike="noStrike" spc="-1">
                    <a:solidFill>
                      <a:srgbClr val="404040"/>
                    </a:solidFill>
                    <a:latin typeface="Bahnschrift Condensed"/>
                  </a:defRPr>
                </a:pPr>
                <a:endParaRPr lang="ru-RU"/>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зерно, 
тыс. тонн</c:v>
                </c:pt>
                <c:pt idx="1">
                  <c:v>овощи, 
тыс. тонн</c:v>
                </c:pt>
                <c:pt idx="2">
                  <c:v>картофель, 
тыс. тонн</c:v>
                </c:pt>
              </c:strCache>
            </c:strRef>
          </c:cat>
          <c:val>
            <c:numRef>
              <c:f>1</c:f>
              <c:numCache>
                <c:formatCode>General</c:formatCode>
                <c:ptCount val="3"/>
                <c:pt idx="0">
                  <c:v>8.5000000000000006E-2</c:v>
                </c:pt>
                <c:pt idx="1">
                  <c:v>13.6</c:v>
                </c:pt>
                <c:pt idx="2">
                  <c:v>40.1</c:v>
                </c:pt>
              </c:numCache>
            </c:numRef>
          </c:val>
          <c:extLst>
            <c:ext xmlns:c16="http://schemas.microsoft.com/office/drawing/2014/chart" uri="{C3380CC4-5D6E-409C-BE32-E72D297353CC}">
              <c16:uniqueId val="{00000001-C431-4D68-BC7D-47DFDDAFAE0D}"/>
            </c:ext>
          </c:extLst>
        </c:ser>
        <c:ser>
          <c:idx val="2"/>
          <c:order val="2"/>
          <c:tx>
            <c:strRef>
              <c:f>label 2</c:f>
              <c:strCache>
                <c:ptCount val="1"/>
                <c:pt idx="0">
                  <c:v>2020 год</c:v>
                </c:pt>
              </c:strCache>
            </c:strRef>
          </c:tx>
          <c:spPr>
            <a:solidFill>
              <a:srgbClr val="A5A5A5"/>
            </a:solidFill>
            <a:ln w="0">
              <a:noFill/>
            </a:ln>
          </c:spPr>
          <c:invertIfNegative val="0"/>
          <c:dLbls>
            <c:numFmt formatCode="General" sourceLinked="0"/>
            <c:spPr>
              <a:noFill/>
              <a:ln>
                <a:noFill/>
              </a:ln>
              <a:effectLst/>
            </c:spPr>
            <c:txPr>
              <a:bodyPr wrap="square"/>
              <a:lstStyle/>
              <a:p>
                <a:pPr>
                  <a:defRPr sz="1200" b="0" strike="noStrike" spc="-1">
                    <a:solidFill>
                      <a:srgbClr val="404040"/>
                    </a:solidFill>
                    <a:latin typeface="Bahnschrift Condensed"/>
                  </a:defRPr>
                </a:pPr>
                <a:endParaRPr lang="ru-RU"/>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зерно, 
тыс. тонн</c:v>
                </c:pt>
                <c:pt idx="1">
                  <c:v>овощи, 
тыс. тонн</c:v>
                </c:pt>
                <c:pt idx="2">
                  <c:v>картофель, 
тыс. тонн</c:v>
                </c:pt>
              </c:strCache>
            </c:strRef>
          </c:cat>
          <c:val>
            <c:numRef>
              <c:f>2</c:f>
              <c:numCache>
                <c:formatCode>General</c:formatCode>
                <c:ptCount val="3"/>
                <c:pt idx="0">
                  <c:v>8.5000000000000006E-2</c:v>
                </c:pt>
                <c:pt idx="1">
                  <c:v>13.57</c:v>
                </c:pt>
                <c:pt idx="2">
                  <c:v>39.6</c:v>
                </c:pt>
              </c:numCache>
            </c:numRef>
          </c:val>
          <c:extLst>
            <c:ext xmlns:c16="http://schemas.microsoft.com/office/drawing/2014/chart" uri="{C3380CC4-5D6E-409C-BE32-E72D297353CC}">
              <c16:uniqueId val="{00000002-C431-4D68-BC7D-47DFDDAFAE0D}"/>
            </c:ext>
          </c:extLst>
        </c:ser>
        <c:ser>
          <c:idx val="3"/>
          <c:order val="3"/>
          <c:tx>
            <c:strRef>
              <c:f>label 3</c:f>
              <c:strCache>
                <c:ptCount val="1"/>
                <c:pt idx="0">
                  <c:v>2021 год</c:v>
                </c:pt>
              </c:strCache>
            </c:strRef>
          </c:tx>
          <c:spPr>
            <a:solidFill>
              <a:srgbClr val="FFC000"/>
            </a:solidFill>
            <a:ln w="0">
              <a:noFill/>
            </a:ln>
          </c:spPr>
          <c:invertIfNegative val="0"/>
          <c:dLbls>
            <c:numFmt formatCode="General" sourceLinked="0"/>
            <c:spPr>
              <a:noFill/>
              <a:ln>
                <a:noFill/>
              </a:ln>
              <a:effectLst/>
            </c:spPr>
            <c:txPr>
              <a:bodyPr wrap="square"/>
              <a:lstStyle/>
              <a:p>
                <a:pPr>
                  <a:defRPr sz="1400" b="0" strike="noStrike" spc="-1">
                    <a:solidFill>
                      <a:srgbClr val="404040"/>
                    </a:solidFill>
                    <a:latin typeface="Bahnschrift Condensed"/>
                  </a:defRPr>
                </a:pPr>
                <a:endParaRPr lang="ru-RU"/>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зерно, 
тыс. тонн</c:v>
                </c:pt>
                <c:pt idx="1">
                  <c:v>овощи, 
тыс. тонн</c:v>
                </c:pt>
                <c:pt idx="2">
                  <c:v>картофель, 
тыс. тонн</c:v>
                </c:pt>
              </c:strCache>
            </c:strRef>
          </c:cat>
          <c:val>
            <c:numRef>
              <c:f>3</c:f>
              <c:numCache>
                <c:formatCode>General</c:formatCode>
                <c:ptCount val="3"/>
                <c:pt idx="0">
                  <c:v>6.7000000000000004E-2</c:v>
                </c:pt>
                <c:pt idx="1">
                  <c:v>14.62</c:v>
                </c:pt>
                <c:pt idx="2">
                  <c:v>40.08</c:v>
                </c:pt>
              </c:numCache>
            </c:numRef>
          </c:val>
          <c:extLst>
            <c:ext xmlns:c16="http://schemas.microsoft.com/office/drawing/2014/chart" uri="{C3380CC4-5D6E-409C-BE32-E72D297353CC}">
              <c16:uniqueId val="{00000003-C431-4D68-BC7D-47DFDDAFAE0D}"/>
            </c:ext>
          </c:extLst>
        </c:ser>
        <c:ser>
          <c:idx val="4"/>
          <c:order val="4"/>
          <c:tx>
            <c:strRef>
              <c:f>label 4</c:f>
              <c:strCache>
                <c:ptCount val="1"/>
                <c:pt idx="0">
                  <c:v>2022 год</c:v>
                </c:pt>
              </c:strCache>
            </c:strRef>
          </c:tx>
          <c:spPr>
            <a:solidFill>
              <a:srgbClr val="4472C4"/>
            </a:solidFill>
            <a:ln w="0">
              <a:noFill/>
            </a:ln>
          </c:spPr>
          <c:invertIfNegative val="0"/>
          <c:dLbls>
            <c:numFmt formatCode="General" sourceLinked="0"/>
            <c:spPr>
              <a:noFill/>
              <a:ln>
                <a:noFill/>
              </a:ln>
              <a:effectLst/>
            </c:spPr>
            <c:txPr>
              <a:bodyPr wrap="square"/>
              <a:lstStyle/>
              <a:p>
                <a:pPr>
                  <a:defRPr sz="1600" b="0" strike="noStrike" spc="-1">
                    <a:solidFill>
                      <a:srgbClr val="C00000"/>
                    </a:solidFill>
                    <a:latin typeface="Bahnschrift Condensed"/>
                  </a:defRPr>
                </a:pPr>
                <a:endParaRPr lang="ru-RU"/>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зерно, 
тыс. тонн</c:v>
                </c:pt>
                <c:pt idx="1">
                  <c:v>овощи, 
тыс. тонн</c:v>
                </c:pt>
                <c:pt idx="2">
                  <c:v>картофель, 
тыс. тонн</c:v>
                </c:pt>
              </c:strCache>
            </c:strRef>
          </c:cat>
          <c:val>
            <c:numRef>
              <c:f>4</c:f>
              <c:numCache>
                <c:formatCode>General</c:formatCode>
                <c:ptCount val="3"/>
                <c:pt idx="0">
                  <c:v>0.29899999999999999</c:v>
                </c:pt>
                <c:pt idx="1">
                  <c:v>13.06</c:v>
                </c:pt>
                <c:pt idx="2">
                  <c:v>41.088999999999999</c:v>
                </c:pt>
              </c:numCache>
            </c:numRef>
          </c:val>
          <c:extLst>
            <c:ext xmlns:c16="http://schemas.microsoft.com/office/drawing/2014/chart" uri="{C3380CC4-5D6E-409C-BE32-E72D297353CC}">
              <c16:uniqueId val="{00000004-C431-4D68-BC7D-47DFDDAFAE0D}"/>
            </c:ext>
          </c:extLst>
        </c:ser>
        <c:dLbls>
          <c:showLegendKey val="0"/>
          <c:showVal val="0"/>
          <c:showCatName val="0"/>
          <c:showSerName val="0"/>
          <c:showPercent val="0"/>
          <c:showBubbleSize val="0"/>
        </c:dLbls>
        <c:gapWidth val="136"/>
        <c:overlap val="-30"/>
        <c:axId val="5113032"/>
        <c:axId val="29519007"/>
      </c:barChart>
      <c:catAx>
        <c:axId val="5113032"/>
        <c:scaling>
          <c:orientation val="minMax"/>
        </c:scaling>
        <c:delete val="0"/>
        <c:axPos val="l"/>
        <c:numFmt formatCode="General" sourceLinked="0"/>
        <c:majorTickMark val="out"/>
        <c:minorTickMark val="none"/>
        <c:tickLblPos val="nextTo"/>
        <c:spPr>
          <a:ln w="9360">
            <a:solidFill>
              <a:srgbClr val="D9D9D9"/>
            </a:solidFill>
            <a:round/>
          </a:ln>
        </c:spPr>
        <c:txPr>
          <a:bodyPr/>
          <a:lstStyle/>
          <a:p>
            <a:pPr>
              <a:defRPr sz="1200" b="0" strike="noStrike" spc="-1">
                <a:solidFill>
                  <a:srgbClr val="595959"/>
                </a:solidFill>
                <a:latin typeface="Bahnschrift Condensed"/>
              </a:defRPr>
            </a:pPr>
            <a:endParaRPr lang="ru-RU"/>
          </a:p>
        </c:txPr>
        <c:crossAx val="29519007"/>
        <c:crosses val="autoZero"/>
        <c:auto val="1"/>
        <c:lblAlgn val="ctr"/>
        <c:lblOffset val="100"/>
        <c:noMultiLvlLbl val="0"/>
      </c:catAx>
      <c:valAx>
        <c:axId val="29519007"/>
        <c:scaling>
          <c:orientation val="minMax"/>
        </c:scaling>
        <c:delete val="0"/>
        <c:axPos val="b"/>
        <c:majorGridlines>
          <c:spPr>
            <a:ln w="9360">
              <a:solidFill>
                <a:srgbClr val="D9D9D9"/>
              </a:solidFill>
              <a:round/>
            </a:ln>
          </c:spPr>
        </c:majorGridlines>
        <c:minorGridlines>
          <c:spPr>
            <a:ln w="9360">
              <a:solidFill>
                <a:srgbClr val="F2F2F2"/>
              </a:solidFill>
              <a:round/>
            </a:ln>
          </c:spPr>
        </c:minorGridlines>
        <c:numFmt formatCode="General" sourceLinked="0"/>
        <c:majorTickMark val="none"/>
        <c:minorTickMark val="none"/>
        <c:tickLblPos val="nextTo"/>
        <c:spPr>
          <a:ln w="6480">
            <a:noFill/>
          </a:ln>
        </c:spPr>
        <c:txPr>
          <a:bodyPr/>
          <a:lstStyle/>
          <a:p>
            <a:pPr>
              <a:defRPr sz="1200" b="0" strike="noStrike" spc="-1">
                <a:solidFill>
                  <a:srgbClr val="595959"/>
                </a:solidFill>
                <a:latin typeface="Bahnschrift Condensed"/>
              </a:defRPr>
            </a:pPr>
            <a:endParaRPr lang="ru-RU"/>
          </a:p>
        </c:txPr>
        <c:crossAx val="5113032"/>
        <c:crosses val="autoZero"/>
        <c:crossBetween val="between"/>
      </c:valAx>
      <c:spPr>
        <a:noFill/>
        <a:ln w="0">
          <a:noFill/>
        </a:ln>
      </c:spPr>
    </c:plotArea>
    <c:legend>
      <c:legendPos val="t"/>
      <c:overlay val="0"/>
      <c:spPr>
        <a:noFill/>
        <a:ln w="0">
          <a:noFill/>
        </a:ln>
      </c:spPr>
      <c:txPr>
        <a:bodyPr/>
        <a:lstStyle/>
        <a:p>
          <a:pPr>
            <a:defRPr sz="1200" b="0" strike="noStrike" spc="-1">
              <a:solidFill>
                <a:srgbClr val="595959"/>
              </a:solidFill>
              <a:latin typeface="Bahnschrift Condensed"/>
            </a:defRPr>
          </a:pPr>
          <a:endParaRPr lang="ru-RU"/>
        </a:p>
      </c:txPr>
    </c:legend>
    <c:plotVisOnly val="1"/>
    <c:dispBlanksAs val="gap"/>
    <c:showDLblsOverMax val="1"/>
  </c:chart>
  <c:spPr>
    <a:solidFill>
      <a:srgbClr val="FFFFFF"/>
    </a:solidFill>
    <a:ln w="9360">
      <a:noFill/>
    </a:ln>
  </c:spPr>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ru-RU"/>
  <c:roundedCorners val="0"/>
  <c:style val="2"/>
  <c:chart>
    <c:autoTitleDeleted val="1"/>
    <c:plotArea>
      <c:layout>
        <c:manualLayout>
          <c:layoutTarget val="inner"/>
          <c:xMode val="edge"/>
          <c:yMode val="edge"/>
          <c:x val="0.18925"/>
          <c:y val="0.118777777777778"/>
          <c:w val="0.78137500000000004"/>
          <c:h val="0.78133333333333299"/>
        </c:manualLayout>
      </c:layout>
      <c:barChart>
        <c:barDir val="bar"/>
        <c:grouping val="clustered"/>
        <c:varyColors val="0"/>
        <c:ser>
          <c:idx val="0"/>
          <c:order val="0"/>
          <c:tx>
            <c:strRef>
              <c:f>label 0</c:f>
              <c:strCache>
                <c:ptCount val="1"/>
                <c:pt idx="0">
                  <c:v>2018</c:v>
                </c:pt>
              </c:strCache>
            </c:strRef>
          </c:tx>
          <c:spPr>
            <a:solidFill>
              <a:srgbClr val="5B9BD5"/>
            </a:solidFill>
            <a:ln w="0">
              <a:noFill/>
            </a:ln>
          </c:spPr>
          <c:invertIfNegative val="0"/>
          <c:dLbls>
            <c:numFmt formatCode="0.00" sourceLinked="0"/>
            <c:spPr>
              <a:noFill/>
              <a:ln>
                <a:noFill/>
              </a:ln>
              <a:effectLst/>
            </c:spPr>
            <c:txPr>
              <a:bodyPr wrap="square"/>
              <a:lstStyle/>
              <a:p>
                <a:pPr>
                  <a:defRPr sz="1200" b="0" strike="noStrike" spc="-1">
                    <a:solidFill>
                      <a:srgbClr val="404040"/>
                    </a:solidFill>
                    <a:latin typeface="Bahnschrift Condensed"/>
                  </a:defRPr>
                </a:pPr>
                <a:endParaRPr lang="ru-RU"/>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Молоко, тыс. тонн</c:v>
                </c:pt>
                <c:pt idx="1">
                  <c:v>Мясо в ж. весе, тыс. тонн</c:v>
                </c:pt>
                <c:pt idx="2">
                  <c:v>Яйцо, млн шт.</c:v>
                </c:pt>
              </c:strCache>
            </c:strRef>
          </c:cat>
          <c:val>
            <c:numRef>
              <c:f>0</c:f>
              <c:numCache>
                <c:formatCode>General</c:formatCode>
                <c:ptCount val="3"/>
                <c:pt idx="0">
                  <c:v>20.87</c:v>
                </c:pt>
                <c:pt idx="1">
                  <c:v>7.28</c:v>
                </c:pt>
                <c:pt idx="2">
                  <c:v>54.1</c:v>
                </c:pt>
              </c:numCache>
            </c:numRef>
          </c:val>
          <c:extLst>
            <c:ext xmlns:c16="http://schemas.microsoft.com/office/drawing/2014/chart" uri="{C3380CC4-5D6E-409C-BE32-E72D297353CC}">
              <c16:uniqueId val="{00000000-8369-4453-847F-E0EFC4CE7772}"/>
            </c:ext>
          </c:extLst>
        </c:ser>
        <c:ser>
          <c:idx val="1"/>
          <c:order val="1"/>
          <c:tx>
            <c:strRef>
              <c:f>label 1</c:f>
              <c:strCache>
                <c:ptCount val="1"/>
                <c:pt idx="0">
                  <c:v>2019</c:v>
                </c:pt>
              </c:strCache>
            </c:strRef>
          </c:tx>
          <c:spPr>
            <a:solidFill>
              <a:srgbClr val="ED7D31"/>
            </a:solidFill>
            <a:ln w="0">
              <a:noFill/>
            </a:ln>
          </c:spPr>
          <c:invertIfNegative val="0"/>
          <c:dLbls>
            <c:numFmt formatCode="0.00" sourceLinked="0"/>
            <c:spPr>
              <a:noFill/>
              <a:ln>
                <a:noFill/>
              </a:ln>
              <a:effectLst/>
            </c:spPr>
            <c:txPr>
              <a:bodyPr wrap="square"/>
              <a:lstStyle/>
              <a:p>
                <a:pPr>
                  <a:defRPr sz="1200" b="0" strike="noStrike" spc="-1">
                    <a:solidFill>
                      <a:srgbClr val="404040"/>
                    </a:solidFill>
                    <a:latin typeface="Bahnschrift Condensed"/>
                  </a:defRPr>
                </a:pPr>
                <a:endParaRPr lang="ru-RU"/>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Молоко, тыс. тонн</c:v>
                </c:pt>
                <c:pt idx="1">
                  <c:v>Мясо в ж. весе, тыс. тонн</c:v>
                </c:pt>
                <c:pt idx="2">
                  <c:v>Яйцо, млн шт.</c:v>
                </c:pt>
              </c:strCache>
            </c:strRef>
          </c:cat>
          <c:val>
            <c:numRef>
              <c:f>1</c:f>
              <c:numCache>
                <c:formatCode>General</c:formatCode>
                <c:ptCount val="3"/>
                <c:pt idx="0">
                  <c:v>22.1</c:v>
                </c:pt>
                <c:pt idx="1">
                  <c:v>8.92</c:v>
                </c:pt>
                <c:pt idx="2">
                  <c:v>50.7</c:v>
                </c:pt>
              </c:numCache>
            </c:numRef>
          </c:val>
          <c:extLst>
            <c:ext xmlns:c16="http://schemas.microsoft.com/office/drawing/2014/chart" uri="{C3380CC4-5D6E-409C-BE32-E72D297353CC}">
              <c16:uniqueId val="{00000001-8369-4453-847F-E0EFC4CE7772}"/>
            </c:ext>
          </c:extLst>
        </c:ser>
        <c:ser>
          <c:idx val="2"/>
          <c:order val="2"/>
          <c:tx>
            <c:strRef>
              <c:f>label 2</c:f>
              <c:strCache>
                <c:ptCount val="1"/>
                <c:pt idx="0">
                  <c:v>2020</c:v>
                </c:pt>
              </c:strCache>
            </c:strRef>
          </c:tx>
          <c:spPr>
            <a:solidFill>
              <a:srgbClr val="A5A5A5"/>
            </a:solidFill>
            <a:ln w="0">
              <a:noFill/>
            </a:ln>
          </c:spPr>
          <c:invertIfNegative val="0"/>
          <c:dLbls>
            <c:numFmt formatCode="0.00" sourceLinked="0"/>
            <c:spPr>
              <a:noFill/>
              <a:ln>
                <a:noFill/>
              </a:ln>
              <a:effectLst/>
            </c:spPr>
            <c:txPr>
              <a:bodyPr wrap="square"/>
              <a:lstStyle/>
              <a:p>
                <a:pPr>
                  <a:defRPr sz="1200" b="0" strike="noStrike" spc="-1">
                    <a:solidFill>
                      <a:srgbClr val="404040"/>
                    </a:solidFill>
                    <a:latin typeface="Bahnschrift Condensed"/>
                  </a:defRPr>
                </a:pPr>
                <a:endParaRPr lang="ru-RU"/>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Молоко, тыс. тонн</c:v>
                </c:pt>
                <c:pt idx="1">
                  <c:v>Мясо в ж. весе, тыс. тонн</c:v>
                </c:pt>
                <c:pt idx="2">
                  <c:v>Яйцо, млн шт.</c:v>
                </c:pt>
              </c:strCache>
            </c:strRef>
          </c:cat>
          <c:val>
            <c:numRef>
              <c:f>2</c:f>
              <c:numCache>
                <c:formatCode>General</c:formatCode>
                <c:ptCount val="3"/>
                <c:pt idx="0">
                  <c:v>22.8</c:v>
                </c:pt>
                <c:pt idx="1">
                  <c:v>9.69</c:v>
                </c:pt>
                <c:pt idx="2">
                  <c:v>59.8</c:v>
                </c:pt>
              </c:numCache>
            </c:numRef>
          </c:val>
          <c:extLst>
            <c:ext xmlns:c16="http://schemas.microsoft.com/office/drawing/2014/chart" uri="{C3380CC4-5D6E-409C-BE32-E72D297353CC}">
              <c16:uniqueId val="{00000002-8369-4453-847F-E0EFC4CE7772}"/>
            </c:ext>
          </c:extLst>
        </c:ser>
        <c:ser>
          <c:idx val="3"/>
          <c:order val="3"/>
          <c:tx>
            <c:strRef>
              <c:f>label 3</c:f>
              <c:strCache>
                <c:ptCount val="1"/>
                <c:pt idx="0">
                  <c:v>2021</c:v>
                </c:pt>
              </c:strCache>
            </c:strRef>
          </c:tx>
          <c:spPr>
            <a:solidFill>
              <a:srgbClr val="FFC000"/>
            </a:solidFill>
            <a:ln w="0">
              <a:noFill/>
            </a:ln>
          </c:spPr>
          <c:invertIfNegative val="0"/>
          <c:dLbls>
            <c:numFmt formatCode="0.00" sourceLinked="0"/>
            <c:spPr>
              <a:noFill/>
              <a:ln>
                <a:noFill/>
              </a:ln>
              <a:effectLst/>
            </c:spPr>
            <c:txPr>
              <a:bodyPr wrap="square"/>
              <a:lstStyle/>
              <a:p>
                <a:pPr>
                  <a:defRPr sz="1400" b="0" strike="noStrike" spc="-1">
                    <a:solidFill>
                      <a:srgbClr val="404040"/>
                    </a:solidFill>
                    <a:latin typeface="Bahnschrift Condensed"/>
                  </a:defRPr>
                </a:pPr>
                <a:endParaRPr lang="ru-RU"/>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Молоко, тыс. тонн</c:v>
                </c:pt>
                <c:pt idx="1">
                  <c:v>Мясо в ж. весе, тыс. тонн</c:v>
                </c:pt>
                <c:pt idx="2">
                  <c:v>Яйцо, млн шт.</c:v>
                </c:pt>
              </c:strCache>
            </c:strRef>
          </c:cat>
          <c:val>
            <c:numRef>
              <c:f>3</c:f>
              <c:numCache>
                <c:formatCode>General</c:formatCode>
                <c:ptCount val="3"/>
                <c:pt idx="0">
                  <c:v>22.72</c:v>
                </c:pt>
                <c:pt idx="1">
                  <c:v>9.6300000000000008</c:v>
                </c:pt>
                <c:pt idx="2">
                  <c:v>57.03</c:v>
                </c:pt>
              </c:numCache>
            </c:numRef>
          </c:val>
          <c:extLst>
            <c:ext xmlns:c16="http://schemas.microsoft.com/office/drawing/2014/chart" uri="{C3380CC4-5D6E-409C-BE32-E72D297353CC}">
              <c16:uniqueId val="{00000003-8369-4453-847F-E0EFC4CE7772}"/>
            </c:ext>
          </c:extLst>
        </c:ser>
        <c:ser>
          <c:idx val="4"/>
          <c:order val="4"/>
          <c:tx>
            <c:strRef>
              <c:f>label 4</c:f>
              <c:strCache>
                <c:ptCount val="1"/>
                <c:pt idx="0">
                  <c:v>2022</c:v>
                </c:pt>
              </c:strCache>
            </c:strRef>
          </c:tx>
          <c:spPr>
            <a:solidFill>
              <a:srgbClr val="4472C4"/>
            </a:solidFill>
            <a:ln w="0">
              <a:noFill/>
            </a:ln>
          </c:spPr>
          <c:invertIfNegative val="0"/>
          <c:dLbls>
            <c:numFmt formatCode="0.00" sourceLinked="0"/>
            <c:spPr>
              <a:noFill/>
              <a:ln>
                <a:noFill/>
              </a:ln>
              <a:effectLst/>
            </c:spPr>
            <c:txPr>
              <a:bodyPr wrap="square"/>
              <a:lstStyle/>
              <a:p>
                <a:pPr>
                  <a:defRPr sz="1600" b="0" strike="noStrike" spc="-1">
                    <a:solidFill>
                      <a:srgbClr val="C00000"/>
                    </a:solidFill>
                    <a:latin typeface="Bahnschrift Condensed"/>
                  </a:defRPr>
                </a:pPr>
                <a:endParaRPr lang="ru-RU"/>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Молоко, тыс. тонн</c:v>
                </c:pt>
                <c:pt idx="1">
                  <c:v>Мясо в ж. весе, тыс. тонн</c:v>
                </c:pt>
                <c:pt idx="2">
                  <c:v>Яйцо, млн шт.</c:v>
                </c:pt>
              </c:strCache>
            </c:strRef>
          </c:cat>
          <c:val>
            <c:numRef>
              <c:f>4</c:f>
              <c:numCache>
                <c:formatCode>General</c:formatCode>
                <c:ptCount val="3"/>
                <c:pt idx="0">
                  <c:v>22.69</c:v>
                </c:pt>
                <c:pt idx="1">
                  <c:v>9.3870000000000005</c:v>
                </c:pt>
                <c:pt idx="2">
                  <c:v>66.7</c:v>
                </c:pt>
              </c:numCache>
            </c:numRef>
          </c:val>
          <c:extLst>
            <c:ext xmlns:c16="http://schemas.microsoft.com/office/drawing/2014/chart" uri="{C3380CC4-5D6E-409C-BE32-E72D297353CC}">
              <c16:uniqueId val="{00000004-8369-4453-847F-E0EFC4CE7772}"/>
            </c:ext>
          </c:extLst>
        </c:ser>
        <c:dLbls>
          <c:showLegendKey val="0"/>
          <c:showVal val="0"/>
          <c:showCatName val="0"/>
          <c:showSerName val="0"/>
          <c:showPercent val="0"/>
          <c:showBubbleSize val="0"/>
        </c:dLbls>
        <c:gapWidth val="136"/>
        <c:overlap val="-30"/>
        <c:axId val="26288032"/>
        <c:axId val="83039957"/>
      </c:barChart>
      <c:catAx>
        <c:axId val="26288032"/>
        <c:scaling>
          <c:orientation val="minMax"/>
        </c:scaling>
        <c:delete val="0"/>
        <c:axPos val="l"/>
        <c:numFmt formatCode="General" sourceLinked="0"/>
        <c:majorTickMark val="out"/>
        <c:minorTickMark val="none"/>
        <c:tickLblPos val="nextTo"/>
        <c:spPr>
          <a:ln w="9360">
            <a:solidFill>
              <a:srgbClr val="D9D9D9"/>
            </a:solidFill>
            <a:round/>
          </a:ln>
        </c:spPr>
        <c:txPr>
          <a:bodyPr/>
          <a:lstStyle/>
          <a:p>
            <a:pPr>
              <a:defRPr sz="1200" b="0" strike="noStrike" spc="-1">
                <a:solidFill>
                  <a:srgbClr val="595959"/>
                </a:solidFill>
                <a:latin typeface="Bahnschrift Condensed"/>
              </a:defRPr>
            </a:pPr>
            <a:endParaRPr lang="ru-RU"/>
          </a:p>
        </c:txPr>
        <c:crossAx val="83039957"/>
        <c:crosses val="autoZero"/>
        <c:auto val="1"/>
        <c:lblAlgn val="ctr"/>
        <c:lblOffset val="100"/>
        <c:noMultiLvlLbl val="0"/>
      </c:catAx>
      <c:valAx>
        <c:axId val="83039957"/>
        <c:scaling>
          <c:orientation val="minMax"/>
        </c:scaling>
        <c:delete val="0"/>
        <c:axPos val="b"/>
        <c:majorGridlines>
          <c:spPr>
            <a:ln w="9360">
              <a:solidFill>
                <a:srgbClr val="D9D9D9"/>
              </a:solidFill>
              <a:round/>
            </a:ln>
          </c:spPr>
        </c:majorGridlines>
        <c:minorGridlines>
          <c:spPr>
            <a:ln w="9360">
              <a:solidFill>
                <a:srgbClr val="F2F2F2"/>
              </a:solidFill>
              <a:round/>
            </a:ln>
          </c:spPr>
        </c:minorGridlines>
        <c:numFmt formatCode="0.00" sourceLinked="0"/>
        <c:majorTickMark val="none"/>
        <c:minorTickMark val="none"/>
        <c:tickLblPos val="nextTo"/>
        <c:spPr>
          <a:ln w="6480">
            <a:noFill/>
          </a:ln>
        </c:spPr>
        <c:txPr>
          <a:bodyPr/>
          <a:lstStyle/>
          <a:p>
            <a:pPr>
              <a:defRPr sz="1200" b="0" strike="noStrike" spc="-1">
                <a:solidFill>
                  <a:srgbClr val="595959"/>
                </a:solidFill>
                <a:latin typeface="Bahnschrift Condensed"/>
              </a:defRPr>
            </a:pPr>
            <a:endParaRPr lang="ru-RU"/>
          </a:p>
        </c:txPr>
        <c:crossAx val="26288032"/>
        <c:crosses val="autoZero"/>
        <c:crossBetween val="between"/>
      </c:valAx>
      <c:spPr>
        <a:noFill/>
        <a:ln w="0">
          <a:noFill/>
        </a:ln>
      </c:spPr>
    </c:plotArea>
    <c:legend>
      <c:legendPos val="t"/>
      <c:overlay val="0"/>
      <c:spPr>
        <a:noFill/>
        <a:ln w="0">
          <a:noFill/>
        </a:ln>
      </c:spPr>
      <c:txPr>
        <a:bodyPr/>
        <a:lstStyle/>
        <a:p>
          <a:pPr>
            <a:defRPr sz="1200" b="0" strike="noStrike" spc="-1">
              <a:solidFill>
                <a:srgbClr val="595959"/>
              </a:solidFill>
              <a:latin typeface="Bahnschrift Condensed"/>
            </a:defRPr>
          </a:pPr>
          <a:endParaRPr lang="ru-RU"/>
        </a:p>
      </c:txPr>
    </c:legend>
    <c:plotVisOnly val="1"/>
    <c:dispBlanksAs val="gap"/>
    <c:showDLblsOverMax val="1"/>
  </c:chart>
  <c:spPr>
    <a:solidFill>
      <a:srgbClr val="FFFFFF"/>
    </a:solidFill>
    <a:ln w="9360">
      <a:noFill/>
    </a:ln>
  </c:spPr>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ru-RU"/>
  <c:roundedCorners val="0"/>
  <c:style val="2"/>
  <c:chart>
    <c:autoTitleDeleted val="1"/>
    <c:plotArea>
      <c:layout>
        <c:manualLayout>
          <c:layoutTarget val="inner"/>
          <c:xMode val="edge"/>
          <c:yMode val="edge"/>
          <c:x val="0.18925"/>
          <c:y val="0.118777777777778"/>
          <c:w val="0.78137500000000004"/>
          <c:h val="0.78133333333333299"/>
        </c:manualLayout>
      </c:layout>
      <c:barChart>
        <c:barDir val="bar"/>
        <c:grouping val="clustered"/>
        <c:varyColors val="0"/>
        <c:ser>
          <c:idx val="0"/>
          <c:order val="0"/>
          <c:tx>
            <c:strRef>
              <c:f>label 0</c:f>
              <c:strCache>
                <c:ptCount val="1"/>
                <c:pt idx="0">
                  <c:v>2014</c:v>
                </c:pt>
              </c:strCache>
            </c:strRef>
          </c:tx>
          <c:spPr>
            <a:solidFill>
              <a:srgbClr val="5B9BD5"/>
            </a:solidFill>
            <a:ln w="0">
              <a:noFill/>
            </a:ln>
          </c:spPr>
          <c:invertIfNegative val="0"/>
          <c:dLbls>
            <c:numFmt formatCode="0.00%" sourceLinked="0"/>
            <c:spPr>
              <a:noFill/>
              <a:ln>
                <a:noFill/>
              </a:ln>
              <a:effectLst/>
            </c:spPr>
            <c:txPr>
              <a:bodyPr wrap="square"/>
              <a:lstStyle/>
              <a:p>
                <a:pPr>
                  <a:defRPr sz="1200" b="0" strike="noStrike" spc="-1">
                    <a:solidFill>
                      <a:srgbClr val="404040"/>
                    </a:solidFill>
                    <a:latin typeface="Bahnschrift Condensed"/>
                  </a:defRPr>
                </a:pPr>
                <a:endParaRPr lang="ru-RU"/>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2"/>
                <c:pt idx="0">
                  <c:v>Мясо и мясопродукты</c:v>
                </c:pt>
                <c:pt idx="1">
                  <c:v>Молоко и молокопродукты</c:v>
                </c:pt>
              </c:strCache>
            </c:strRef>
          </c:cat>
          <c:val>
            <c:numRef>
              <c:f>0</c:f>
              <c:numCache>
                <c:formatCode>General</c:formatCode>
                <c:ptCount val="2"/>
                <c:pt idx="0">
                  <c:v>0.14000000000000001</c:v>
                </c:pt>
                <c:pt idx="1">
                  <c:v>0.31</c:v>
                </c:pt>
              </c:numCache>
            </c:numRef>
          </c:val>
          <c:extLst>
            <c:ext xmlns:c16="http://schemas.microsoft.com/office/drawing/2014/chart" uri="{C3380CC4-5D6E-409C-BE32-E72D297353CC}">
              <c16:uniqueId val="{00000000-F717-446E-914C-8C6368E3BE8A}"/>
            </c:ext>
          </c:extLst>
        </c:ser>
        <c:ser>
          <c:idx val="1"/>
          <c:order val="1"/>
          <c:tx>
            <c:strRef>
              <c:f>label 1</c:f>
              <c:strCache>
                <c:ptCount val="1"/>
                <c:pt idx="0">
                  <c:v>2022</c:v>
                </c:pt>
              </c:strCache>
            </c:strRef>
          </c:tx>
          <c:spPr>
            <a:solidFill>
              <a:srgbClr val="ED7D31"/>
            </a:solidFill>
            <a:ln w="0">
              <a:noFill/>
            </a:ln>
          </c:spPr>
          <c:invertIfNegative val="0"/>
          <c:dLbls>
            <c:numFmt formatCode="0.00%" sourceLinked="0"/>
            <c:spPr>
              <a:noFill/>
              <a:ln>
                <a:noFill/>
              </a:ln>
              <a:effectLst/>
            </c:spPr>
            <c:txPr>
              <a:bodyPr wrap="square"/>
              <a:lstStyle/>
              <a:p>
                <a:pPr>
                  <a:defRPr sz="1600" b="0" strike="noStrike" spc="-1">
                    <a:solidFill>
                      <a:srgbClr val="C00000"/>
                    </a:solidFill>
                    <a:latin typeface="Bahnschrift Condensed"/>
                  </a:defRPr>
                </a:pPr>
                <a:endParaRPr lang="ru-RU"/>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2"/>
                <c:pt idx="0">
                  <c:v>Мясо и мясопродукты</c:v>
                </c:pt>
                <c:pt idx="1">
                  <c:v>Молоко и молокопродукты</c:v>
                </c:pt>
              </c:strCache>
            </c:strRef>
          </c:cat>
          <c:val>
            <c:numRef>
              <c:f>1</c:f>
              <c:numCache>
                <c:formatCode>General</c:formatCode>
                <c:ptCount val="2"/>
                <c:pt idx="0">
                  <c:v>0.28199999999999997</c:v>
                </c:pt>
                <c:pt idx="1">
                  <c:v>0.46500000000000002</c:v>
                </c:pt>
              </c:numCache>
            </c:numRef>
          </c:val>
          <c:extLst>
            <c:ext xmlns:c16="http://schemas.microsoft.com/office/drawing/2014/chart" uri="{C3380CC4-5D6E-409C-BE32-E72D297353CC}">
              <c16:uniqueId val="{00000001-F717-446E-914C-8C6368E3BE8A}"/>
            </c:ext>
          </c:extLst>
        </c:ser>
        <c:dLbls>
          <c:showLegendKey val="0"/>
          <c:showVal val="0"/>
          <c:showCatName val="0"/>
          <c:showSerName val="0"/>
          <c:showPercent val="0"/>
          <c:showBubbleSize val="0"/>
        </c:dLbls>
        <c:gapWidth val="136"/>
        <c:overlap val="-30"/>
        <c:axId val="90139477"/>
        <c:axId val="6430869"/>
      </c:barChart>
      <c:catAx>
        <c:axId val="90139477"/>
        <c:scaling>
          <c:orientation val="minMax"/>
        </c:scaling>
        <c:delete val="0"/>
        <c:axPos val="l"/>
        <c:numFmt formatCode="General" sourceLinked="0"/>
        <c:majorTickMark val="out"/>
        <c:minorTickMark val="none"/>
        <c:tickLblPos val="nextTo"/>
        <c:spPr>
          <a:ln w="9360">
            <a:solidFill>
              <a:srgbClr val="D9D9D9"/>
            </a:solidFill>
            <a:round/>
          </a:ln>
        </c:spPr>
        <c:txPr>
          <a:bodyPr/>
          <a:lstStyle/>
          <a:p>
            <a:pPr>
              <a:defRPr sz="1200" b="0" strike="noStrike" spc="-1">
                <a:solidFill>
                  <a:srgbClr val="595959"/>
                </a:solidFill>
                <a:latin typeface="Bahnschrift Condensed"/>
              </a:defRPr>
            </a:pPr>
            <a:endParaRPr lang="ru-RU"/>
          </a:p>
        </c:txPr>
        <c:crossAx val="6430869"/>
        <c:crosses val="autoZero"/>
        <c:auto val="1"/>
        <c:lblAlgn val="ctr"/>
        <c:lblOffset val="100"/>
        <c:noMultiLvlLbl val="0"/>
      </c:catAx>
      <c:valAx>
        <c:axId val="6430869"/>
        <c:scaling>
          <c:orientation val="minMax"/>
        </c:scaling>
        <c:delete val="0"/>
        <c:axPos val="b"/>
        <c:majorGridlines>
          <c:spPr>
            <a:ln w="9360">
              <a:solidFill>
                <a:srgbClr val="D9D9D9"/>
              </a:solidFill>
              <a:round/>
            </a:ln>
          </c:spPr>
        </c:majorGridlines>
        <c:minorGridlines>
          <c:spPr>
            <a:ln w="9360">
              <a:solidFill>
                <a:srgbClr val="F2F2F2"/>
              </a:solidFill>
              <a:round/>
            </a:ln>
          </c:spPr>
        </c:minorGridlines>
        <c:numFmt formatCode="0.00%" sourceLinked="0"/>
        <c:majorTickMark val="none"/>
        <c:minorTickMark val="none"/>
        <c:tickLblPos val="nextTo"/>
        <c:spPr>
          <a:ln w="6480">
            <a:noFill/>
          </a:ln>
        </c:spPr>
        <c:txPr>
          <a:bodyPr/>
          <a:lstStyle/>
          <a:p>
            <a:pPr>
              <a:defRPr sz="1000" b="0" strike="noStrike" spc="-1">
                <a:solidFill>
                  <a:srgbClr val="595959"/>
                </a:solidFill>
                <a:latin typeface="Bahnschrift Condensed"/>
              </a:defRPr>
            </a:pPr>
            <a:endParaRPr lang="ru-RU"/>
          </a:p>
        </c:txPr>
        <c:crossAx val="90139477"/>
        <c:crosses val="autoZero"/>
        <c:crossBetween val="between"/>
      </c:valAx>
      <c:spPr>
        <a:noFill/>
        <a:ln w="0">
          <a:noFill/>
        </a:ln>
      </c:spPr>
    </c:plotArea>
    <c:legend>
      <c:legendPos val="t"/>
      <c:overlay val="0"/>
      <c:spPr>
        <a:noFill/>
        <a:ln w="0">
          <a:noFill/>
        </a:ln>
      </c:spPr>
      <c:txPr>
        <a:bodyPr/>
        <a:lstStyle/>
        <a:p>
          <a:pPr>
            <a:defRPr sz="1200" b="0" strike="noStrike" spc="-1">
              <a:solidFill>
                <a:srgbClr val="595959"/>
              </a:solidFill>
              <a:latin typeface="Bahnschrift Condensed"/>
            </a:defRPr>
          </a:pPr>
          <a:endParaRPr lang="ru-RU"/>
        </a:p>
      </c:txPr>
    </c:legend>
    <c:plotVisOnly val="1"/>
    <c:dispBlanksAs val="gap"/>
    <c:showDLblsOverMax val="1"/>
  </c:chart>
  <c:spPr>
    <a:solidFill>
      <a:srgbClr val="FFFFFF"/>
    </a:solidFill>
    <a:ln w="9360">
      <a:noFill/>
    </a:ln>
  </c:spPr>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C29FF7-2FF1-4419-A357-D378DD3E9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59</Pages>
  <Words>20893</Words>
  <Characters>119093</Characters>
  <Application>Microsoft Office Word</Application>
  <DocSecurity>0</DocSecurity>
  <Lines>992</Lines>
  <Paragraphs>279</Paragraphs>
  <ScaleCrop>false</ScaleCrop>
  <HeadingPairs>
    <vt:vector size="2" baseType="variant">
      <vt:variant>
        <vt:lpstr>Название</vt:lpstr>
      </vt:variant>
      <vt:variant>
        <vt:i4>1</vt:i4>
      </vt:variant>
    </vt:vector>
  </HeadingPairs>
  <TitlesOfParts>
    <vt:vector size="1" baseType="lpstr">
      <vt:lpstr>1</vt:lpstr>
    </vt:vector>
  </TitlesOfParts>
  <Company>RePack by SPecialiST</Company>
  <LinksUpToDate>false</LinksUpToDate>
  <CharactersWithSpaces>139707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Нияз</dc:creator>
  <dc:description/>
  <cp:lastModifiedBy>Хамлова Наталья Львовна</cp:lastModifiedBy>
  <cp:revision>2</cp:revision>
  <cp:lastPrinted>2021-03-31T05:04:00Z</cp:lastPrinted>
  <dcterms:created xsi:type="dcterms:W3CDTF">2023-04-24T01:38:00Z</dcterms:created>
  <dcterms:modified xsi:type="dcterms:W3CDTF">2023-04-24T01:38:00Z</dcterms:modified>
  <dc:language>ru-RU</dc:language>
</cp:coreProperties>
</file>